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31F8" w14:textId="180A6824" w:rsidR="00AC6BCB" w:rsidRDefault="00AC6BCB" w:rsidP="00AC6BCB">
      <w:pPr>
        <w:pStyle w:val="NormalWeb"/>
        <w:jc w:val="center"/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</w:pPr>
      <w:r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Дмитрий Дубровский</w:t>
      </w:r>
    </w:p>
    <w:p w14:paraId="5E15175E" w14:textId="070C6EA4" w:rsidR="00C554A7" w:rsidRDefault="00C554A7" w:rsidP="00AC6BCB">
      <w:pPr>
        <w:pStyle w:val="NormalWeb"/>
        <w:jc w:val="center"/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Российские дебаты об антиколониализме</w:t>
      </w:r>
    </w:p>
    <w:p w14:paraId="01ADFCFD" w14:textId="30419E38" w:rsidR="00AC6BCB" w:rsidRPr="00C554A7" w:rsidRDefault="00AC6BCB" w:rsidP="00AC6BCB">
      <w:pPr>
        <w:pStyle w:val="NormalWeb"/>
        <w:jc w:val="center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Программа курса</w:t>
      </w:r>
    </w:p>
    <w:p w14:paraId="58793268" w14:textId="77777777" w:rsidR="00AC6BCB" w:rsidRDefault="00C554A7" w:rsidP="00C554A7">
      <w:pPr>
        <w:pStyle w:val="NormalWeb"/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Аннотация</w:t>
      </w:r>
    </w:p>
    <w:p w14:paraId="6A2E510E" w14:textId="285F9896" w:rsidR="00C554A7" w:rsidRPr="00C554A7" w:rsidRDefault="00C554A7" w:rsidP="00AC6BCB">
      <w:pPr>
        <w:pStyle w:val="NormalWeb"/>
        <w:jc w:val="both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 xml:space="preserve">Антиколониальное движение было тесно связано с интеллектуальным сопротивлением, антиколониальной мыслью и позднее — с постколониальной критикой. Российские интеллектуальные дебаты в значительной степени отставали от этих процессов; лишь с началом войны и обострением вопроса о политическом будущем России усилилась полемика о том, насколько антиколониальная повестка релевантна для России, в какой мере российско-советский колониализм соответствует «классическим» моделям, применимы ли к нему те же критические рамки и политические практики, что используются для анализа других империй, и каким видится политическому воображению российского антиколониального движения </w:t>
      </w:r>
      <w:r w:rsidR="00AC6BCB" w:rsidRPr="00C554A7">
        <w:rPr>
          <w:rFonts w:ascii="Garamond" w:hAnsi="Garamond"/>
          <w:color w:val="000000"/>
          <w:sz w:val="26"/>
          <w:szCs w:val="26"/>
          <w:lang w:val="ru-RU"/>
        </w:rPr>
        <w:t>пост</w:t>
      </w:r>
      <w:r w:rsidR="00AC6BCB">
        <w:rPr>
          <w:rFonts w:ascii="Garamond" w:hAnsi="Garamond"/>
          <w:color w:val="000000"/>
          <w:sz w:val="26"/>
          <w:szCs w:val="26"/>
          <w:lang w:val="ru-RU"/>
        </w:rPr>
        <w:t>-</w:t>
      </w:r>
      <w:r w:rsidR="00AC6BCB" w:rsidRPr="00C554A7">
        <w:rPr>
          <w:rFonts w:ascii="Garamond" w:hAnsi="Garamond"/>
          <w:color w:val="000000"/>
          <w:sz w:val="26"/>
          <w:szCs w:val="26"/>
          <w:lang w:val="ru-RU"/>
        </w:rPr>
        <w:t>российское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 xml:space="preserve"> политическое пространство.</w:t>
      </w:r>
    </w:p>
    <w:p w14:paraId="0DE8731C" w14:textId="77777777" w:rsidR="00C554A7" w:rsidRPr="00C554A7" w:rsidRDefault="00C554A7" w:rsidP="00AC6BCB">
      <w:pPr>
        <w:pStyle w:val="NormalWeb"/>
        <w:jc w:val="both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Fonts w:ascii="Garamond" w:hAnsi="Garamond"/>
          <w:color w:val="000000"/>
          <w:sz w:val="26"/>
          <w:szCs w:val="26"/>
          <w:lang w:val="ru-RU"/>
        </w:rPr>
        <w:t>Опираясь на ключевых мыслителей — Франца Фанона, Эдварда Саида и М. К. Ганди, — курс способствует рефлексии антиколониальных активистов, знакомя их с общими основаниями исследований империи и национализма и предлагая инструменты анализа как антиколониальных нарративов, так и политической практики. Его актуальность усиливается парадоксом настоящего времени: в современной России антиколониальные активисты преследуются как «экстремисты», тогда как государство одновременно провозглашает себя лидером глобального антиколониального движения. Таким образом, курс вооружает участников навыками распознавания и противодействия инструментализации деколониального дискурса, используемой Россией в войне против Украины и в конфронтации с западными странами.</w:t>
      </w:r>
    </w:p>
    <w:p w14:paraId="2994B7AA" w14:textId="77777777" w:rsidR="00C554A7" w:rsidRPr="00C554A7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Цели курса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>Курс знакомит активистов антиколониального движения с актуальными дебатами об империи и национализме, уделяя особое внимание: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>• степени, в которой постсоциалистическое пространство может быть понято как постколониальное;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>• взаимосвязи национального и имперского в постсоветском регионе;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 xml:space="preserve">• распространённому противопоставлению </w:t>
      </w:r>
      <w:r w:rsidRPr="00C554A7">
        <w:rPr>
          <w:rFonts w:ascii="Garamond" w:hAnsi="Garamond"/>
          <w:color w:val="000000"/>
          <w:sz w:val="26"/>
          <w:szCs w:val="26"/>
        </w:rPr>
        <w:t>«хорошего национализма» и «плохого империализма» и пределам этой дихотомии.</w:t>
      </w:r>
    </w:p>
    <w:p w14:paraId="4956BAF7" w14:textId="77777777" w:rsidR="00C554A7" w:rsidRPr="00C554A7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Fonts w:ascii="Garamond" w:hAnsi="Garamond"/>
          <w:color w:val="000000"/>
          <w:sz w:val="26"/>
          <w:szCs w:val="26"/>
          <w:lang w:val="ru-RU"/>
        </w:rPr>
        <w:t>Также будут рассмотрены конституционные и институциональные модели, выходящие за рамки простого противопоставления империи и национального государства.</w:t>
      </w:r>
    </w:p>
    <w:p w14:paraId="1F4F7724" w14:textId="77777777" w:rsidR="00C554A7" w:rsidRPr="00C554A7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lastRenderedPageBreak/>
        <w:t>Требования курса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>Студенты представляют письменную работу с критическим анализом отобранных текстов (предоставляемых преподавателем), отражающих разнообразные политические программы и платформы антиколониальных движений по всему миру.</w:t>
      </w:r>
    </w:p>
    <w:p w14:paraId="469A58A6" w14:textId="77777777" w:rsidR="00C554A7" w:rsidRPr="00C554A7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Структура курса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>Курс разделён на три части; по завершении каждой части студентам предлагается короткий письменный отклик.</w:t>
      </w:r>
    </w:p>
    <w:p w14:paraId="2A47B777" w14:textId="77777777" w:rsidR="00C554A7" w:rsidRPr="00C554A7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Рекомендуемая библиография</w:t>
      </w:r>
    </w:p>
    <w:p w14:paraId="492E03D3" w14:textId="17899E38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Audinet, Maxime. “‘Down with neocolonialism!’ Strategic narrative resurgence and foreign policy preferences in wartime Russia.”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European Journal of International Security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(2025): 1–22.</w:t>
      </w:r>
    </w:p>
    <w:p w14:paraId="055586F4" w14:textId="158793ED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Balibar, Étienne, and Immanuel Wallerstein.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Race, Nation, Class: Ambiguous Identities.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Trans. I. Glushchenko et al. Moscow, 2003.</w:t>
      </w:r>
    </w:p>
    <w:p w14:paraId="3D26F530" w14:textId="0D42ACD0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Brubaker, Rogers. “Nationhood and the National Question in the Soviet Union.”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Theory and Society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(1994).</w:t>
      </w:r>
    </w:p>
    <w:p w14:paraId="1A991545" w14:textId="51EC6680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Brubaker, Rogers. “Nationalizing States Revisited: Projects and Processes of Nationalization in Post-Soviet States.” In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Nationalism, Ethnicity and Boundaries</w:t>
      </w:r>
      <w:r w:rsidRPr="00C554A7">
        <w:rPr>
          <w:rFonts w:ascii="Garamond" w:hAnsi="Garamond"/>
          <w:sz w:val="26"/>
          <w:szCs w:val="26"/>
        </w:rPr>
        <w:t>, 165–191. Routledge, 2014.</w:t>
      </w:r>
    </w:p>
    <w:p w14:paraId="7DD1C1F1" w14:textId="75252C84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Etkind, Alexander.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Internal Colonization: Russia’s Imperial Experience.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6th ed. Moscow, 2023.</w:t>
      </w:r>
    </w:p>
    <w:p w14:paraId="730A3E7F" w14:textId="2E29B300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Fanon, Frantz.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(1952) 2008. Black Skin, White Masks.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Trans. Richard Philcox. London: Penguin. Chs. 1–4.</w:t>
      </w:r>
    </w:p>
    <w:p w14:paraId="6B0C8964" w14:textId="10C4C1D2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Gandhi, M. K.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(1909) 1997. Indian Home Rule [Hind Swaraj].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In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Hind Swaraj and Other Writings</w:t>
      </w:r>
      <w:r w:rsidRPr="00C554A7">
        <w:rPr>
          <w:rFonts w:ascii="Garamond" w:hAnsi="Garamond"/>
          <w:sz w:val="26"/>
          <w:szCs w:val="26"/>
        </w:rPr>
        <w:t>, ed. Anthony J. Parel. Cambridge: Cambridge University Press. Chs. 4–8, 11, 13–14, 16–17, pp. 26–45, 58–61, 66–74, 79–99.</w:t>
      </w:r>
    </w:p>
    <w:p w14:paraId="5AFFB9E3" w14:textId="674C5F51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Gellner, Ernest. “The Coming of Nationalism. Myths of Nation and Class.”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Put’: International Philosophical Journal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1 (1992): 9–61.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hyperlink r:id="rId10" w:tgtFrame="_new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http://litopys.org.ua/gellner/puti.htm</w:t>
        </w:r>
      </w:hyperlink>
    </w:p>
    <w:p w14:paraId="6FDBCCA3" w14:textId="77777777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 w:cs="Arial"/>
          <w:color w:val="222222"/>
          <w:sz w:val="26"/>
          <w:szCs w:val="26"/>
          <w:shd w:val="clear" w:color="auto" w:fill="FFFFFF"/>
        </w:rPr>
        <w:t>Hirsch, Francine.</w:t>
      </w:r>
      <w:r w:rsidRPr="00C554A7">
        <w:rPr>
          <w:rStyle w:val="apple-converted-space"/>
          <w:rFonts w:ascii="Garamond" w:eastAsiaTheme="majorEastAsia" w:hAnsi="Garamond" w:cs="Arial"/>
          <w:color w:val="222222"/>
          <w:sz w:val="26"/>
          <w:szCs w:val="26"/>
          <w:shd w:val="clear" w:color="auto" w:fill="FFFFFF"/>
        </w:rPr>
        <w:t> </w:t>
      </w:r>
      <w:r w:rsidRPr="00C554A7">
        <w:rPr>
          <w:rFonts w:ascii="Garamond" w:hAnsi="Garamond" w:cs="Arial"/>
          <w:i/>
          <w:iCs/>
          <w:color w:val="222222"/>
          <w:sz w:val="26"/>
          <w:szCs w:val="26"/>
        </w:rPr>
        <w:t>Empire of nations: Ethnographic knowledge and the making of the Soviet Union</w:t>
      </w:r>
      <w:r w:rsidRPr="00C554A7">
        <w:rPr>
          <w:rFonts w:ascii="Garamond" w:hAnsi="Garamond" w:cs="Arial"/>
          <w:color w:val="222222"/>
          <w:sz w:val="26"/>
          <w:szCs w:val="26"/>
          <w:shd w:val="clear" w:color="auto" w:fill="FFFFFF"/>
        </w:rPr>
        <w:t>. Cornell University Press, 2005.</w:t>
      </w:r>
      <w:r w:rsidRPr="00C554A7">
        <w:rPr>
          <w:rFonts w:ascii="Garamond" w:hAnsi="Garamond"/>
          <w:sz w:val="26"/>
          <w:szCs w:val="26"/>
        </w:rPr>
        <w:t xml:space="preserve"> </w:t>
      </w:r>
    </w:p>
    <w:p w14:paraId="36F197AE" w14:textId="27E0A30C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Khomyakov, Maxim. “Russia: Colonial, Anticolonial, Postcolonial Empire?”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Social Science Information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59, no. 2 (2020): 225–263.</w:t>
      </w:r>
    </w:p>
    <w:p w14:paraId="6D54B876" w14:textId="7DCA1475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lastRenderedPageBreak/>
        <w:t>Kolstø, Pål. “Is Imperialist Nationalism an Oxymoron?”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Nations and Nationalism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(2019).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hyperlink r:id="rId11" w:tgtFrame="_new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https://doi.org/10.1111/nana.12449</w:t>
        </w:r>
      </w:hyperlink>
    </w:p>
    <w:p w14:paraId="6635874B" w14:textId="4C7FCCC8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Kymlicka, Will. “Multicultural Citizenship.” In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The New Social Theory Reader</w:t>
      </w:r>
      <w:r w:rsidRPr="00C554A7">
        <w:rPr>
          <w:rFonts w:ascii="Garamond" w:hAnsi="Garamond"/>
          <w:sz w:val="26"/>
          <w:szCs w:val="26"/>
        </w:rPr>
        <w:t>, 270–280. Routledge, 2020.</w:t>
      </w:r>
    </w:p>
    <w:p w14:paraId="40393F43" w14:textId="77777777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Laruelle, Marlene. “Rethinking Russian Nationalism: Historical Continuity, Political Diversity, and Doctrinal Fragmentation.” In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Russian Nationalism and the National Reassertion of Russia</w:t>
      </w:r>
      <w:r w:rsidRPr="00C554A7">
        <w:rPr>
          <w:rFonts w:ascii="Garamond" w:hAnsi="Garamond"/>
          <w:sz w:val="26"/>
          <w:szCs w:val="26"/>
        </w:rPr>
        <w:t>, 13–48. 2010.</w:t>
      </w:r>
    </w:p>
    <w:p w14:paraId="0F887D05" w14:textId="6BFC1186" w:rsidR="002E4D0E" w:rsidRPr="00C554A7" w:rsidRDefault="002E4D0E" w:rsidP="002E4D0E">
      <w:pPr>
        <w:pStyle w:val="NormalWeb"/>
        <w:ind w:left="360"/>
        <w:rPr>
          <w:rStyle w:val="apple-converted-space"/>
          <w:rFonts w:ascii="Garamond" w:hAnsi="Garamond"/>
          <w:sz w:val="26"/>
          <w:szCs w:val="26"/>
        </w:rPr>
      </w:pPr>
      <w:r w:rsidRPr="00C554A7">
        <w:rPr>
          <w:rFonts w:ascii="Garamond" w:hAnsi="Garamond"/>
          <w:color w:val="000000" w:themeColor="text1"/>
          <w:sz w:val="26"/>
          <w:szCs w:val="26"/>
        </w:rPr>
        <w:t>Laruelle, Marlene, Dymek, Jakub.</w:t>
      </w:r>
      <w:r w:rsidRPr="00C554A7">
        <w:rPr>
          <w:rStyle w:val="apple-converted-space"/>
          <w:rFonts w:ascii="Garamond" w:eastAsiaTheme="majorEastAsia" w:hAnsi="Garamond"/>
          <w:color w:val="000000" w:themeColor="text1"/>
          <w:sz w:val="26"/>
          <w:szCs w:val="26"/>
        </w:rPr>
        <w:t> </w:t>
      </w:r>
      <w:r w:rsidRPr="00C554A7">
        <w:rPr>
          <w:rStyle w:val="apple-converted-space"/>
          <w:rFonts w:ascii="Garamond" w:hAnsi="Garamond"/>
          <w:color w:val="000000" w:themeColor="text1"/>
          <w:sz w:val="26"/>
          <w:szCs w:val="26"/>
        </w:rPr>
        <w:t>‘</w:t>
      </w:r>
      <w:r w:rsidRPr="00C554A7">
        <w:rPr>
          <w:rStyle w:val="Emphasis"/>
          <w:rFonts w:ascii="Garamond" w:eastAsiaTheme="majorEastAsia" w:hAnsi="Garamond"/>
          <w:color w:val="000000" w:themeColor="text1"/>
          <w:sz w:val="26"/>
          <w:szCs w:val="26"/>
        </w:rPr>
        <w:t>Decolonizing Russia?</w:t>
      </w:r>
      <w:r w:rsidRPr="00C554A7">
        <w:rPr>
          <w:rStyle w:val="Emphasis"/>
          <w:rFonts w:ascii="Garamond" w:hAnsi="Garamond"/>
          <w:color w:val="000000" w:themeColor="text1"/>
          <w:sz w:val="26"/>
          <w:szCs w:val="26"/>
        </w:rPr>
        <w:t>’</w:t>
      </w:r>
      <w:r w:rsidRPr="00C554A7">
        <w:rPr>
          <w:rStyle w:val="apple-converted-space"/>
          <w:rFonts w:ascii="Garamond" w:eastAsiaTheme="majorEastAsia" w:hAnsi="Garamond"/>
          <w:color w:val="000000" w:themeColor="text1"/>
          <w:sz w:val="26"/>
          <w:szCs w:val="26"/>
        </w:rPr>
        <w:t> </w:t>
      </w:r>
      <w:r w:rsidRPr="00C554A7">
        <w:rPr>
          <w:rFonts w:ascii="Garamond" w:hAnsi="Garamond"/>
          <w:i/>
          <w:iCs/>
          <w:color w:val="000000" w:themeColor="text1"/>
          <w:sz w:val="26"/>
          <w:szCs w:val="26"/>
        </w:rPr>
        <w:t>Be careful what you wish for</w:t>
      </w:r>
      <w:r w:rsidRPr="00C554A7">
        <w:rPr>
          <w:rFonts w:ascii="Garamond" w:hAnsi="Garamond"/>
          <w:color w:val="000000" w:themeColor="text1"/>
          <w:sz w:val="26"/>
          <w:szCs w:val="26"/>
        </w:rPr>
        <w:t xml:space="preserve">. </w:t>
      </w:r>
      <w:r w:rsidRPr="00C554A7">
        <w:rPr>
          <w:rStyle w:val="apple-converted-space"/>
          <w:rFonts w:ascii="Garamond" w:eastAsiaTheme="majorEastAsia" w:hAnsi="Garamond"/>
          <w:color w:val="000000" w:themeColor="text1"/>
          <w:sz w:val="26"/>
          <w:szCs w:val="26"/>
        </w:rPr>
        <w:t>Aspen Institute for Central Europe</w:t>
      </w:r>
      <w:r w:rsidRPr="00C554A7">
        <w:rPr>
          <w:rStyle w:val="apple-converted-space"/>
          <w:rFonts w:ascii="Garamond" w:eastAsiaTheme="majorEastAsia" w:hAnsi="Garamond"/>
          <w:color w:val="F6F6F6"/>
          <w:sz w:val="26"/>
          <w:szCs w:val="26"/>
        </w:rPr>
        <w:t xml:space="preserve">. </w:t>
      </w:r>
    </w:p>
    <w:p w14:paraId="05D521AF" w14:textId="0B57E68D" w:rsidR="002E4D0E" w:rsidRPr="00C554A7" w:rsidRDefault="002E4D0E" w:rsidP="002E4D0E">
      <w:pPr>
        <w:pStyle w:val="NormalWeb"/>
        <w:spacing w:before="0" w:beforeAutospacing="0" w:after="0" w:afterAutospacing="0"/>
        <w:ind w:left="360"/>
        <w:rPr>
          <w:rFonts w:ascii="Garamond" w:hAnsi="Garamond"/>
          <w:sz w:val="26"/>
          <w:szCs w:val="26"/>
        </w:rPr>
      </w:pPr>
      <w:hyperlink r:id="rId12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https://www.aspeninstitutece.org/article/2023/decolonized-russia/</w:t>
        </w:r>
      </w:hyperlink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 xml:space="preserve"> </w:t>
      </w:r>
    </w:p>
    <w:p w14:paraId="5C79DF8F" w14:textId="6514F356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Lenton, A.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Decolonizing Russia?: Disentangling Debates.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Cambridge University Press, 2025.</w:t>
      </w:r>
    </w:p>
    <w:p w14:paraId="4A825880" w14:textId="6FC818E9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Lieven, Dominic. “The Russian Empire (1453–1917).” In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The Oxford World History of Empire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(2021).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hyperlink r:id="rId13" w:tgtFrame="_new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https://doi.org/10.1093/oso/9780197532768.003.0035</w:t>
        </w:r>
      </w:hyperlink>
    </w:p>
    <w:p w14:paraId="05DCACA4" w14:textId="77777777" w:rsidR="001F1C8E" w:rsidRPr="00C554A7" w:rsidRDefault="001F1C8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 w:cs="Arial"/>
          <w:color w:val="222222"/>
          <w:sz w:val="26"/>
          <w:szCs w:val="26"/>
          <w:shd w:val="clear" w:color="auto" w:fill="FFFFFF"/>
        </w:rPr>
        <w:t>Martin, Terry.</w:t>
      </w:r>
      <w:r w:rsidRPr="00C554A7">
        <w:rPr>
          <w:rStyle w:val="apple-converted-space"/>
          <w:rFonts w:ascii="Garamond" w:eastAsiaTheme="majorEastAsia" w:hAnsi="Garamond" w:cs="Arial"/>
          <w:color w:val="222222"/>
          <w:sz w:val="26"/>
          <w:szCs w:val="26"/>
          <w:shd w:val="clear" w:color="auto" w:fill="FFFFFF"/>
        </w:rPr>
        <w:t> </w:t>
      </w:r>
      <w:r w:rsidRPr="00C554A7">
        <w:rPr>
          <w:rFonts w:ascii="Garamond" w:hAnsi="Garamond" w:cs="Arial"/>
          <w:i/>
          <w:iCs/>
          <w:color w:val="222222"/>
          <w:sz w:val="26"/>
          <w:szCs w:val="26"/>
        </w:rPr>
        <w:t>The affirmative action empire: Nations and nationalism in the Soviet Union, 1923–1939</w:t>
      </w:r>
      <w:r w:rsidRPr="00C554A7">
        <w:rPr>
          <w:rFonts w:ascii="Garamond" w:hAnsi="Garamond" w:cs="Arial"/>
          <w:color w:val="222222"/>
          <w:sz w:val="26"/>
          <w:szCs w:val="26"/>
          <w:shd w:val="clear" w:color="auto" w:fill="FFFFFF"/>
        </w:rPr>
        <w:t>. Cornell University Press, 2018.</w:t>
      </w:r>
      <w:r w:rsidRPr="00C554A7">
        <w:rPr>
          <w:rFonts w:ascii="Garamond" w:hAnsi="Garamond"/>
          <w:sz w:val="26"/>
          <w:szCs w:val="26"/>
        </w:rPr>
        <w:t xml:space="preserve"> </w:t>
      </w:r>
    </w:p>
    <w:p w14:paraId="1A641978" w14:textId="6BFA8C13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Morozov, Viatcheslav.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Russia’s Postcolonial Identity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(2015)</w:t>
      </w:r>
    </w:p>
    <w:p w14:paraId="0D31D6A8" w14:textId="5174D966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Said, Edward.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(1975) 2021. Orientalism.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Mosco</w:t>
      </w:r>
      <w:r w:rsidR="001F1C8E" w:rsidRPr="00C554A7">
        <w:rPr>
          <w:rFonts w:ascii="Garamond" w:hAnsi="Garamond"/>
          <w:sz w:val="26"/>
          <w:szCs w:val="26"/>
        </w:rPr>
        <w:t>w.</w:t>
      </w:r>
    </w:p>
    <w:p w14:paraId="4C049823" w14:textId="140DF76D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Smith, Graham, et al.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Nation-Building in the Post-Soviet Borderlands: The Politics of National Identities.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Cambridge University Press, 1998.</w:t>
      </w:r>
    </w:p>
    <w:p w14:paraId="674D5DE4" w14:textId="76D9D06F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Sörensen, J. S. “Russia’s Narrative of Sovereignty: What Makes It So Enticing for the Global South?”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Russia in Global Affairs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23, no. 4 (2025): 49–66.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https://doi.org/10.31278/1810-6374-2025-23-4-49-66</w:t>
      </w:r>
    </w:p>
    <w:p w14:paraId="1E17D23D" w14:textId="1D1E293D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Suny, Ronald G. (1993). Ch. 3, “State-Building and Nation-Making: The Soviet Experience.” In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The Revenge of the Past: Nationalism, Revolution, and the Collapse of the Soviet Union.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Stanford, CA: Stanford University Press.</w:t>
      </w:r>
    </w:p>
    <w:p w14:paraId="12E942E8" w14:textId="2920D255" w:rsidR="002E4D0E" w:rsidRPr="00C554A7" w:rsidRDefault="001F1C8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 w:cs="Arial"/>
          <w:color w:val="222222"/>
          <w:sz w:val="26"/>
          <w:szCs w:val="26"/>
          <w:shd w:val="clear" w:color="auto" w:fill="FFFFFF"/>
        </w:rPr>
        <w:t>Tlostanova, Madina. "Postsocialist≠ postcolonial? On post-Soviet imaginary and global coloniality." In</w:t>
      </w:r>
      <w:r w:rsidRPr="00C554A7">
        <w:rPr>
          <w:rStyle w:val="apple-converted-space"/>
          <w:rFonts w:ascii="Garamond" w:eastAsiaTheme="majorEastAsia" w:hAnsi="Garamond" w:cs="Arial"/>
          <w:color w:val="222222"/>
          <w:sz w:val="26"/>
          <w:szCs w:val="26"/>
          <w:shd w:val="clear" w:color="auto" w:fill="FFFFFF"/>
        </w:rPr>
        <w:t> </w:t>
      </w:r>
      <w:r w:rsidRPr="00C554A7">
        <w:rPr>
          <w:rFonts w:ascii="Garamond" w:hAnsi="Garamond" w:cs="Arial"/>
          <w:i/>
          <w:iCs/>
          <w:color w:val="222222"/>
          <w:sz w:val="26"/>
          <w:szCs w:val="26"/>
        </w:rPr>
        <w:t>Postcolonial Perspectives on Postcommunism in Central and Eastern Europe</w:t>
      </w:r>
      <w:r w:rsidRPr="00C554A7">
        <w:rPr>
          <w:rFonts w:ascii="Garamond" w:hAnsi="Garamond" w:cs="Arial"/>
          <w:color w:val="222222"/>
          <w:sz w:val="26"/>
          <w:szCs w:val="26"/>
          <w:shd w:val="clear" w:color="auto" w:fill="FFFFFF"/>
        </w:rPr>
        <w:t>, pp. 28-40. Routledge, 2017.</w:t>
      </w:r>
      <w:r w:rsidRPr="00C554A7">
        <w:rPr>
          <w:rFonts w:ascii="Garamond" w:hAnsi="Garamond"/>
          <w:sz w:val="26"/>
          <w:szCs w:val="26"/>
        </w:rPr>
        <w:t xml:space="preserve"> </w:t>
      </w:r>
    </w:p>
    <w:p w14:paraId="19B88278" w14:textId="6B469A48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Tlostanova, Madina, and Walter Mignolo.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Learning to Unlearn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(2012)</w:t>
      </w:r>
    </w:p>
    <w:p w14:paraId="5671F44F" w14:textId="4DD240FC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lastRenderedPageBreak/>
        <w:t>Walzer, Michael. “On Tolerance.” Yale University (1997).</w:t>
      </w:r>
    </w:p>
    <w:p w14:paraId="6CB655CF" w14:textId="1613DE5D" w:rsidR="002E4D0E" w:rsidRPr="00C554A7" w:rsidRDefault="002E4D0E" w:rsidP="002E4D0E">
      <w:pPr>
        <w:pStyle w:val="NormalWeb"/>
        <w:ind w:left="360"/>
        <w:rPr>
          <w:rFonts w:ascii="Garamond" w:hAnsi="Garamond"/>
          <w:sz w:val="26"/>
          <w:szCs w:val="26"/>
        </w:rPr>
      </w:pPr>
      <w:r w:rsidRPr="00C554A7">
        <w:rPr>
          <w:rFonts w:ascii="Garamond" w:hAnsi="Garamond"/>
          <w:sz w:val="26"/>
          <w:szCs w:val="26"/>
        </w:rPr>
        <w:t>Wolff, Larry.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sz w:val="26"/>
          <w:szCs w:val="26"/>
        </w:rPr>
        <w:t>Woodrow Wilson and the Reimagining of Eastern Europe.</w:t>
      </w:r>
      <w:r w:rsidRPr="00C554A7">
        <w:rPr>
          <w:rStyle w:val="apple-converted-space"/>
          <w:rFonts w:ascii="Garamond" w:eastAsiaTheme="majorEastAsia" w:hAnsi="Garamond"/>
          <w:sz w:val="26"/>
          <w:szCs w:val="26"/>
        </w:rPr>
        <w:t> </w:t>
      </w:r>
      <w:r w:rsidRPr="00C554A7">
        <w:rPr>
          <w:rFonts w:ascii="Garamond" w:hAnsi="Garamond"/>
          <w:sz w:val="26"/>
          <w:szCs w:val="26"/>
        </w:rPr>
        <w:t>Vol. 6. Stanford, CA: Stanford University Press, 2020.</w:t>
      </w:r>
    </w:p>
    <w:p w14:paraId="63C6C5F2" w14:textId="77777777" w:rsidR="004A7941" w:rsidRPr="00C554A7" w:rsidRDefault="004A7941" w:rsidP="00A371F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276F6ABD" w14:textId="77777777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 xml:space="preserve">Часть 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I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. Теоретические дискуссии об империи, нации и национализме</w:t>
      </w:r>
    </w:p>
    <w:p w14:paraId="785E8F1A" w14:textId="4D67D58F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 xml:space="preserve">1. Империя и национализм: исторические и теоретические дебаты. Эссенциализм 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vs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. конструктивизм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t>Gellner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 xml:space="preserve">, </w:t>
      </w:r>
      <w:r w:rsidRPr="00C554A7">
        <w:rPr>
          <w:rFonts w:ascii="Garamond" w:hAnsi="Garamond"/>
          <w:color w:val="000000"/>
          <w:sz w:val="26"/>
          <w:szCs w:val="26"/>
        </w:rPr>
        <w:t>Ernest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 xml:space="preserve">. </w:t>
      </w:r>
      <w:r w:rsidRPr="00C554A7">
        <w:rPr>
          <w:rFonts w:ascii="Garamond" w:hAnsi="Garamond"/>
          <w:color w:val="000000"/>
          <w:sz w:val="26"/>
          <w:szCs w:val="26"/>
        </w:rPr>
        <w:t>The Coming of Nationalism. Myths of Nation and Class. Put’: International Philosophical Journal, 1992, no. 1, pp. 9–61.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hyperlink r:id="rId14" w:tgtFrame="_new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http://litopys.org.ua/gellner/puti.htm</w:t>
        </w:r>
      </w:hyperlink>
    </w:p>
    <w:p w14:paraId="5EA4CC5C" w14:textId="23789E00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2. Раса, нация, класс: соотношение понятий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br/>
        <w:t>Balibar, Étienne, and Immanuel Wallerstein. Race, Nation, Class: Ambiguous Identities. Translated by I. Glushchenko et al. Moscow, 2003.</w:t>
      </w:r>
    </w:p>
    <w:p w14:paraId="7340BF42" w14:textId="655231AD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3. Колониализм — структура и идентичность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br/>
        <w:t>Fanon, Frantz. (1952) 2008. Black Skin, White Masks. Translated by Richard Philcox. London: Penguin. Chapters 1–4.</w:t>
      </w:r>
      <w:r w:rsidRPr="00C554A7">
        <w:rPr>
          <w:rFonts w:ascii="Garamond" w:hAnsi="Garamond"/>
          <w:color w:val="000000"/>
          <w:sz w:val="26"/>
          <w:szCs w:val="26"/>
        </w:rPr>
        <w:br/>
        <w:t>Said, Edward. (1975) 2021. Orientalism. Moscow, pp. 1–28.</w:t>
      </w:r>
      <w:r w:rsidRPr="00C554A7">
        <w:rPr>
          <w:rFonts w:ascii="Garamond" w:hAnsi="Garamond"/>
          <w:color w:val="000000"/>
          <w:sz w:val="26"/>
          <w:szCs w:val="26"/>
        </w:rPr>
        <w:br/>
        <w:t>Gandhi, M. K. (1909) 1997. Indian Home Rule [Hind Swaraj]. In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Hind Swaraj and Other Writings</w:t>
      </w:r>
      <w:r w:rsidRPr="00C554A7">
        <w:rPr>
          <w:rFonts w:ascii="Garamond" w:hAnsi="Garamond"/>
          <w:color w:val="000000"/>
          <w:sz w:val="26"/>
          <w:szCs w:val="26"/>
        </w:rPr>
        <w:t>, edited by Anthony J. Parel. Cambridge: Cambridge University Press. Chapters 4–8, 11, 13–14, 16–17, pp. 26–45, 58–61, 66–74, 79–99.</w:t>
      </w:r>
    </w:p>
    <w:p w14:paraId="15F63F04" w14:textId="1D48A539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4. Национализм и империи XX века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br/>
        <w:t>Wolff, Larry.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Woodrow Wilson and the Reimagining of Eastern Europe</w:t>
      </w:r>
      <w:r w:rsidRPr="00C554A7">
        <w:rPr>
          <w:rFonts w:ascii="Garamond" w:hAnsi="Garamond"/>
          <w:color w:val="000000"/>
          <w:sz w:val="26"/>
          <w:szCs w:val="26"/>
        </w:rPr>
        <w:t>. Vol. 6. Stanford, CA: Stanford University Press, 2020.</w:t>
      </w:r>
      <w:r w:rsidRPr="00C554A7">
        <w:rPr>
          <w:rFonts w:ascii="Garamond" w:hAnsi="Garamond"/>
          <w:color w:val="000000"/>
          <w:sz w:val="26"/>
          <w:szCs w:val="26"/>
        </w:rPr>
        <w:br/>
        <w:t>Lieven, Dominic. “The Russian Empire (1453–1917).” In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The Oxford World History of Empire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(2021).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hyperlink r:id="rId15" w:tgtFrame="_new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https://doi.org/10.1093/oso/9</w:t>
        </w:r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7</w:t>
        </w:r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80197532768.003.0035</w:t>
        </w:r>
      </w:hyperlink>
    </w:p>
    <w:p w14:paraId="22DC2F7B" w14:textId="77777777" w:rsidR="00C554A7" w:rsidRPr="00C554A7" w:rsidRDefault="006B74AA">
      <w:pPr>
        <w:rPr>
          <w:rFonts w:ascii="Garamond" w:hAnsi="Garamond"/>
          <w:sz w:val="26"/>
          <w:szCs w:val="26"/>
        </w:rPr>
      </w:pPr>
      <w:r w:rsidRPr="006B74AA">
        <w:rPr>
          <w:rFonts w:ascii="Garamond" w:hAnsi="Garamond"/>
          <w:noProof/>
          <w:sz w:val="26"/>
          <w:szCs w:val="26"/>
        </w:rPr>
        <w:pict w14:anchorId="4FC15B8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4164FE8" w14:textId="77777777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 xml:space="preserve">Часть 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II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. Российская империя и вопрос колониализма</w:t>
      </w:r>
    </w:p>
    <w:p w14:paraId="17046966" w14:textId="06F73A5A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5. Российская колониальная система — дебаты об универсализме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lastRenderedPageBreak/>
        <w:t>Etkind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 xml:space="preserve">, </w:t>
      </w:r>
      <w:r w:rsidRPr="00C554A7">
        <w:rPr>
          <w:rFonts w:ascii="Garamond" w:hAnsi="Garamond"/>
          <w:color w:val="000000"/>
          <w:sz w:val="26"/>
          <w:szCs w:val="26"/>
        </w:rPr>
        <w:t>Alexander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>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Internal Colonization: Russia’s Imperial Experience</w:t>
      </w:r>
      <w:r w:rsidRPr="00C554A7">
        <w:rPr>
          <w:rFonts w:ascii="Garamond" w:hAnsi="Garamond"/>
          <w:color w:val="000000"/>
          <w:sz w:val="26"/>
          <w:szCs w:val="26"/>
        </w:rPr>
        <w:t>. 6th ed. Moscow, 2023.</w:t>
      </w:r>
      <w:r w:rsidRPr="00C554A7">
        <w:rPr>
          <w:rFonts w:ascii="Garamond" w:hAnsi="Garamond"/>
          <w:color w:val="000000"/>
          <w:sz w:val="26"/>
          <w:szCs w:val="26"/>
        </w:rPr>
        <w:br/>
        <w:t>Khomyakov, Maxim. “Russia: Colonial, Anticolonial, Postcolonial Empire?”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Social Science Information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59, no. 2 (2020): 225–263.</w:t>
      </w:r>
    </w:p>
    <w:p w14:paraId="1F4C3A1C" w14:textId="55863C7A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6. Советская национальная политика: коренизация и «нации»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br/>
        <w:t>Martin, Terry.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The Affirmative Action Empire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(2001), chs. 1–3.</w:t>
      </w:r>
      <w:r w:rsidRPr="00C554A7">
        <w:rPr>
          <w:rFonts w:ascii="Garamond" w:hAnsi="Garamond"/>
          <w:color w:val="000000"/>
          <w:sz w:val="26"/>
          <w:szCs w:val="26"/>
        </w:rPr>
        <w:br/>
        <w:t>Hirsch, Francine.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Empire of Nations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(2005), chs. 1–2.</w:t>
      </w:r>
      <w:r w:rsidRPr="00C554A7">
        <w:rPr>
          <w:rFonts w:ascii="Garamond" w:hAnsi="Garamond"/>
          <w:color w:val="000000"/>
          <w:sz w:val="26"/>
          <w:szCs w:val="26"/>
        </w:rPr>
        <w:br/>
        <w:t>Brubaker, Rogers. “Nationhood and the National Question in the Soviet Union.”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Theory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  <w:lang w:val="ru-RU"/>
        </w:rPr>
        <w:t xml:space="preserve"> 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and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  <w:lang w:val="ru-RU"/>
        </w:rPr>
        <w:t xml:space="preserve"> 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Society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>(1994).</w:t>
      </w:r>
    </w:p>
    <w:p w14:paraId="19058DBC" w14:textId="77777777" w:rsidR="00C554A7" w:rsidRDefault="00C554A7">
      <w:pPr>
        <w:pStyle w:val="NormalWeb"/>
        <w:rPr>
          <w:rStyle w:val="Strong"/>
          <w:rFonts w:ascii="Garamond" w:eastAsiaTheme="majorEastAsia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7. Советская империя — тюрьма народов или инкубатор наций? Дискуссионное занятие</w:t>
      </w:r>
    </w:p>
    <w:p w14:paraId="4ACBAAD9" w14:textId="77777777" w:rsid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>Студентам предлагается подготовиться к защите обеих позиций; на семинаре они будут случайным образом разделены на две группы.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</w:p>
    <w:p w14:paraId="4A5E05A9" w14:textId="7B501893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Fonts w:ascii="Garamond" w:hAnsi="Garamond"/>
          <w:color w:val="000000"/>
          <w:sz w:val="26"/>
          <w:szCs w:val="26"/>
        </w:rPr>
        <w:br/>
        <w:t>Suny, Ronald G. (1993). Chapter 3, “State-Building and Nation-Making: The Soviet Experience.” In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The Revenge of the Past: Nationalism, Revolution, and the Collapse of the Soviet Union</w:t>
      </w:r>
      <w:r w:rsidRPr="00C554A7">
        <w:rPr>
          <w:rFonts w:ascii="Garamond" w:hAnsi="Garamond"/>
          <w:color w:val="000000"/>
          <w:sz w:val="26"/>
          <w:szCs w:val="26"/>
        </w:rPr>
        <w:t>. Stanford, CA: Stanford University Press.</w:t>
      </w:r>
      <w:r w:rsidRPr="00C554A7">
        <w:rPr>
          <w:rFonts w:ascii="Garamond" w:hAnsi="Garamond"/>
          <w:color w:val="000000"/>
          <w:sz w:val="26"/>
          <w:szCs w:val="26"/>
        </w:rPr>
        <w:br/>
        <w:t>Laruelle, Marlene. “Rethinking Russian Nationalism: Historical Continuity, Political Diversity, and Doctrinal Fragmentation.” In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Russian Nationalism and the National Reassertion of Russia</w:t>
      </w:r>
      <w:r w:rsidRPr="00C554A7">
        <w:rPr>
          <w:rFonts w:ascii="Garamond" w:hAnsi="Garamond"/>
          <w:color w:val="000000"/>
          <w:sz w:val="26"/>
          <w:szCs w:val="26"/>
        </w:rPr>
        <w:t>, pp. 13–48. 2010.</w:t>
      </w:r>
      <w:r w:rsidRPr="00C554A7">
        <w:rPr>
          <w:rFonts w:ascii="Garamond" w:hAnsi="Garamond"/>
          <w:color w:val="000000"/>
          <w:sz w:val="26"/>
          <w:szCs w:val="26"/>
        </w:rPr>
        <w:br/>
        <w:t>Kolstø, Pål. (2019). “Is Imperialist Nationalism an Oxymoron?”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Nations and Nationalism</w:t>
      </w:r>
      <w:r w:rsidRPr="00C554A7">
        <w:rPr>
          <w:rFonts w:ascii="Garamond" w:hAnsi="Garamond"/>
          <w:color w:val="000000"/>
          <w:sz w:val="26"/>
          <w:szCs w:val="26"/>
        </w:rPr>
        <w:t>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hyperlink r:id="rId16" w:tgtFrame="_new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https://doi.org/10.1111/nana.12449</w:t>
        </w:r>
      </w:hyperlink>
    </w:p>
    <w:p w14:paraId="140BF4CC" w14:textId="479A2708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8. Распад СССР и «парад национализмов»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br/>
        <w:t>Smith, Graham, et al.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Nation-Building in the Post-Soviet Borderlands: The Politics of National Identities</w:t>
      </w:r>
      <w:r w:rsidRPr="00C554A7">
        <w:rPr>
          <w:rFonts w:ascii="Garamond" w:hAnsi="Garamond"/>
          <w:color w:val="000000"/>
          <w:sz w:val="26"/>
          <w:szCs w:val="26"/>
        </w:rPr>
        <w:t>. Cambridge University Press, 1998.</w:t>
      </w:r>
      <w:r w:rsidRPr="00C554A7">
        <w:rPr>
          <w:rFonts w:ascii="Garamond" w:hAnsi="Garamond"/>
          <w:color w:val="000000"/>
          <w:sz w:val="26"/>
          <w:szCs w:val="26"/>
        </w:rPr>
        <w:br/>
        <w:t>Morozov, Viatcheslav.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Russia’s Postcolonial Identity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(2015), chs. 1–2.</w:t>
      </w:r>
    </w:p>
    <w:p w14:paraId="29BAE5C4" w14:textId="77777777" w:rsidR="00C554A7" w:rsidRPr="00C554A7" w:rsidRDefault="006B74AA">
      <w:pPr>
        <w:rPr>
          <w:rFonts w:ascii="Garamond" w:hAnsi="Garamond"/>
          <w:sz w:val="26"/>
          <w:szCs w:val="26"/>
        </w:rPr>
      </w:pPr>
      <w:r w:rsidRPr="006B74AA">
        <w:rPr>
          <w:rFonts w:ascii="Garamond" w:hAnsi="Garamond"/>
          <w:noProof/>
          <w:sz w:val="26"/>
          <w:szCs w:val="26"/>
        </w:rPr>
        <w:pict w14:anchorId="613BA5C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0D57C4" w14:textId="77777777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 xml:space="preserve">Часть 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III</w:t>
      </w: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. Пост-СССР: де- и антиколониальная перспектива</w:t>
      </w:r>
    </w:p>
    <w:p w14:paraId="54EC9939" w14:textId="7FD83EB6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9. Постсоциализм и постколониализм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  <w:t>Эткинд, Александр. "Бремя бритого человека, или Внутренняя колонизация России."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Ab imperio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2002, no. 1 (2002): 265–298.</w:t>
      </w:r>
      <w:r w:rsidRPr="00C554A7">
        <w:rPr>
          <w:rFonts w:ascii="Garamond" w:hAnsi="Garamond"/>
          <w:color w:val="000000"/>
          <w:sz w:val="26"/>
          <w:szCs w:val="26"/>
        </w:rPr>
        <w:br/>
        <w:t>Tlostanova, Madina, and Walter Mignolo.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Learning to Unlearn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(2012), selected fragments.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lastRenderedPageBreak/>
        <w:t>Tlostanova, Madina. “Postsocialist ≠ Postcolonial?”</w:t>
      </w:r>
      <w:r w:rsidRPr="00C554A7">
        <w:rPr>
          <w:rFonts w:ascii="Garamond" w:hAnsi="Garamond"/>
          <w:color w:val="000000"/>
          <w:sz w:val="26"/>
          <w:szCs w:val="26"/>
        </w:rPr>
        <w:br/>
        <w:t>Laruelle, Marlene (ed.).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Decolonizing Russia?</w:t>
      </w:r>
      <w:r w:rsidRPr="00C554A7">
        <w:rPr>
          <w:rFonts w:ascii="Garamond" w:hAnsi="Garamond"/>
          <w:color w:val="000000"/>
          <w:sz w:val="26"/>
          <w:szCs w:val="26"/>
        </w:rPr>
        <w:br/>
        <w:t>(Possible addition: recent texts on anti-colonial debates after 2014/2022, including Ukrainian authors.)</w:t>
      </w:r>
    </w:p>
    <w:p w14:paraId="13BF0132" w14:textId="25EAC008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10. Война и антиколониальное движение — дебаты о будущем России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t>Lenton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 xml:space="preserve">, </w:t>
      </w:r>
      <w:r w:rsidRPr="00C554A7">
        <w:rPr>
          <w:rFonts w:ascii="Garamond" w:hAnsi="Garamond"/>
          <w:color w:val="000000"/>
          <w:sz w:val="26"/>
          <w:szCs w:val="26"/>
        </w:rPr>
        <w:t>A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>. (2025).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Decolonizing Russia?: Disentangling Debates</w:t>
      </w:r>
      <w:r w:rsidRPr="00C554A7">
        <w:rPr>
          <w:rFonts w:ascii="Garamond" w:hAnsi="Garamond"/>
          <w:color w:val="000000"/>
          <w:sz w:val="26"/>
          <w:szCs w:val="26"/>
        </w:rPr>
        <w:t>. Cambridge University Press.</w:t>
      </w:r>
      <w:r w:rsidRPr="00C554A7">
        <w:rPr>
          <w:rFonts w:ascii="Garamond" w:hAnsi="Garamond"/>
          <w:color w:val="000000"/>
          <w:sz w:val="26"/>
          <w:szCs w:val="26"/>
        </w:rPr>
        <w:br/>
        <w:t>Miller, Alexei I. "Russian Federalism and the Rehabilitation of the Empire."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Russia in Global Affairs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23, no. 1 (2025): 31–42.</w:t>
      </w:r>
      <w:r w:rsidRPr="00C554A7">
        <w:rPr>
          <w:rFonts w:ascii="Garamond" w:hAnsi="Garamond"/>
          <w:color w:val="000000"/>
          <w:sz w:val="26"/>
          <w:szCs w:val="26"/>
        </w:rPr>
        <w:br/>
      </w:r>
      <w:hyperlink r:id="rId17" w:tgtFrame="_new" w:history="1">
        <w:r w:rsidRPr="00C554A7">
          <w:rPr>
            <w:rStyle w:val="Hyperlink"/>
            <w:rFonts w:ascii="Garamond" w:eastAsiaTheme="majorEastAsia" w:hAnsi="Garamond"/>
            <w:sz w:val="26"/>
            <w:szCs w:val="26"/>
          </w:rPr>
          <w:t>https://eng.globalaffairs.ru/articles/russian-federalism-miller/</w:t>
        </w:r>
      </w:hyperlink>
    </w:p>
    <w:p w14:paraId="219D8B58" w14:textId="77777777" w:rsidR="00C554A7" w:rsidRPr="00C554A7" w:rsidRDefault="00C554A7">
      <w:pPr>
        <w:pStyle w:val="NormalWeb"/>
        <w:rPr>
          <w:rFonts w:ascii="Garamond" w:hAnsi="Garamond"/>
          <w:color w:val="000000"/>
          <w:sz w:val="26"/>
          <w:szCs w:val="26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  <w:lang w:val="ru-RU"/>
        </w:rPr>
        <w:t>11. «Антиколониальная» риторика России и стратегические нарративы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t>Reading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>: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br/>
      </w:r>
      <w:r w:rsidRPr="00C554A7">
        <w:rPr>
          <w:rFonts w:ascii="Garamond" w:hAnsi="Garamond"/>
          <w:color w:val="000000"/>
          <w:sz w:val="26"/>
          <w:szCs w:val="26"/>
        </w:rPr>
        <w:t>Audinet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 xml:space="preserve">, </w:t>
      </w:r>
      <w:r w:rsidRPr="00C554A7">
        <w:rPr>
          <w:rFonts w:ascii="Garamond" w:hAnsi="Garamond"/>
          <w:color w:val="000000"/>
          <w:sz w:val="26"/>
          <w:szCs w:val="26"/>
        </w:rPr>
        <w:t>Maxime</w:t>
      </w:r>
      <w:r w:rsidRPr="00C554A7">
        <w:rPr>
          <w:rFonts w:ascii="Garamond" w:hAnsi="Garamond"/>
          <w:color w:val="000000"/>
          <w:sz w:val="26"/>
          <w:szCs w:val="26"/>
          <w:lang w:val="ru-RU"/>
        </w:rPr>
        <w:t xml:space="preserve">. </w:t>
      </w:r>
      <w:r w:rsidRPr="00C554A7">
        <w:rPr>
          <w:rFonts w:ascii="Garamond" w:hAnsi="Garamond"/>
          <w:color w:val="000000"/>
          <w:sz w:val="26"/>
          <w:szCs w:val="26"/>
        </w:rPr>
        <w:t>"‘Down with neocolonialism!’ Strategic narrative resurgence and foreign policy preferences in wartime Russia."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European Journal of International Security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Fonts w:ascii="Garamond" w:hAnsi="Garamond"/>
          <w:color w:val="000000"/>
          <w:sz w:val="26"/>
          <w:szCs w:val="26"/>
        </w:rPr>
        <w:t>(2025): 1–22.</w:t>
      </w:r>
      <w:r w:rsidRPr="00C554A7">
        <w:rPr>
          <w:rFonts w:ascii="Garamond" w:hAnsi="Garamond"/>
          <w:color w:val="000000"/>
          <w:sz w:val="26"/>
          <w:szCs w:val="26"/>
        </w:rPr>
        <w:br/>
        <w:t>Sörensen, J. S., 2025.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Russia’s Narrative of Sovereignty: What Makes It So Enticing for the Global South?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Russia in Global Affairs</w:t>
      </w:r>
      <w:r w:rsidRPr="00C554A7">
        <w:rPr>
          <w:rFonts w:ascii="Garamond" w:hAnsi="Garamond"/>
          <w:color w:val="000000"/>
          <w:sz w:val="26"/>
          <w:szCs w:val="26"/>
        </w:rPr>
        <w:t>, 23(4), pp. 49–66. DOI: 10.31278/1810-6374-2025-23-4-49-66</w:t>
      </w:r>
    </w:p>
    <w:p w14:paraId="3CA14FA2" w14:textId="5624BA1D" w:rsidR="00C554A7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Style w:val="Strong"/>
          <w:rFonts w:ascii="Garamond" w:eastAsiaTheme="majorEastAsia" w:hAnsi="Garamond"/>
          <w:color w:val="000000"/>
          <w:sz w:val="26"/>
          <w:szCs w:val="26"/>
        </w:rPr>
        <w:t>12. Пост-Россия? Модели сборки и политического воображения</w:t>
      </w:r>
      <w:r w:rsidRPr="00C554A7">
        <w:rPr>
          <w:rFonts w:ascii="Garamond" w:hAnsi="Garamond"/>
          <w:color w:val="000000"/>
          <w:sz w:val="26"/>
          <w:szCs w:val="26"/>
        </w:rPr>
        <w:br/>
      </w:r>
    </w:p>
    <w:p w14:paraId="37735AD7" w14:textId="77777777" w:rsidR="00B86B93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Fonts w:ascii="Garamond" w:hAnsi="Garamond"/>
          <w:color w:val="000000"/>
          <w:sz w:val="26"/>
          <w:szCs w:val="26"/>
          <w:lang w:val="ru-RU"/>
        </w:rPr>
        <w:t xml:space="preserve">В классе предлагается обсудить следующие существующие политические проекты в отношении будущего России, такие как </w:t>
      </w:r>
    </w:p>
    <w:p w14:paraId="04519420" w14:textId="57058CDA" w:rsidR="00C554A7" w:rsidRDefault="00B86B93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Fonts w:ascii="Garamond" w:hAnsi="Garamond"/>
          <w:color w:val="000000"/>
          <w:sz w:val="26"/>
          <w:szCs w:val="26"/>
          <w:lang w:val="ru-RU"/>
        </w:rPr>
        <w:t xml:space="preserve">Нормальная Россия будущего (Милов, Крашенинников) </w:t>
      </w:r>
      <w:hyperlink r:id="rId18" w:history="1">
        <w:r w:rsidRPr="00990963">
          <w:rPr>
            <w:rStyle w:val="Hyperlink"/>
            <w:rFonts w:ascii="Garamond" w:hAnsi="Garamond"/>
            <w:sz w:val="26"/>
            <w:szCs w:val="26"/>
            <w:lang w:val="ru-RU"/>
          </w:rPr>
          <w:t>https://thinktank.4freerussia.org/ru/politics/normalnaya-rossiya-budushhego-da-my-mozhem/</w:t>
        </w:r>
      </w:hyperlink>
      <w:r>
        <w:rPr>
          <w:rFonts w:ascii="Garamond" w:hAnsi="Garamond"/>
          <w:color w:val="000000"/>
          <w:sz w:val="26"/>
          <w:szCs w:val="26"/>
          <w:lang w:val="ru-RU"/>
        </w:rPr>
        <w:t xml:space="preserve"> </w:t>
      </w:r>
    </w:p>
    <w:p w14:paraId="0D4BD351" w14:textId="11B28283" w:rsidR="00B86B93" w:rsidRDefault="00627DC8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Fonts w:ascii="Garamond" w:hAnsi="Garamond"/>
          <w:color w:val="000000"/>
          <w:sz w:val="26"/>
          <w:szCs w:val="26"/>
          <w:lang w:val="ru-RU"/>
        </w:rPr>
        <w:t xml:space="preserve">100 дней после Путина (Мемориал, группа авторов) </w:t>
      </w:r>
      <w:hyperlink r:id="rId19" w:history="1">
        <w:r w:rsidRPr="00990963">
          <w:rPr>
            <w:rStyle w:val="Hyperlink"/>
            <w:rFonts w:ascii="Garamond" w:hAnsi="Garamond"/>
            <w:sz w:val="26"/>
            <w:szCs w:val="26"/>
            <w:lang w:val="ru-RU"/>
          </w:rPr>
          <w:t>https://memorialcenter.org/news/100-dnej-posle-putina-nash-plan-dejstvij?utm_source=chatgpt.com</w:t>
        </w:r>
      </w:hyperlink>
      <w:r>
        <w:rPr>
          <w:rFonts w:ascii="Garamond" w:hAnsi="Garamond"/>
          <w:color w:val="000000"/>
          <w:sz w:val="26"/>
          <w:szCs w:val="26"/>
          <w:lang w:val="ru-RU"/>
        </w:rPr>
        <w:t xml:space="preserve"> </w:t>
      </w:r>
    </w:p>
    <w:p w14:paraId="13DF0152" w14:textId="77777777" w:rsidR="00A205AA" w:rsidRDefault="00A205AA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Fonts w:ascii="Garamond" w:hAnsi="Garamond"/>
          <w:color w:val="000000"/>
          <w:sz w:val="26"/>
          <w:szCs w:val="26"/>
          <w:lang w:val="ru-RU"/>
        </w:rPr>
        <w:t>Проект Конституции (Юдин, Магун, Рощин)</w:t>
      </w:r>
    </w:p>
    <w:p w14:paraId="2AAC4E02" w14:textId="62208018" w:rsidR="00627DC8" w:rsidRDefault="00A205AA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Fonts w:ascii="Garamond" w:hAnsi="Garamond"/>
          <w:color w:val="000000"/>
          <w:sz w:val="26"/>
          <w:szCs w:val="26"/>
          <w:lang w:val="ru-RU"/>
        </w:rPr>
        <w:t xml:space="preserve"> </w:t>
      </w:r>
      <w:hyperlink r:id="rId20" w:history="1">
        <w:r w:rsidRPr="00990963">
          <w:rPr>
            <w:rStyle w:val="Hyperlink"/>
            <w:rFonts w:ascii="Garamond" w:hAnsi="Garamond"/>
            <w:sz w:val="26"/>
            <w:szCs w:val="26"/>
            <w:lang w:val="ru-RU"/>
          </w:rPr>
          <w:t>https://assets.website-files.com/65c5e2a5878952603e3b9e2c/667344a2107eb09fe395e366_IGRec%20Constitution%20Project%20RUS.pdf</w:t>
        </w:r>
      </w:hyperlink>
      <w:r>
        <w:rPr>
          <w:rFonts w:ascii="Garamond" w:hAnsi="Garamond"/>
          <w:color w:val="000000"/>
          <w:sz w:val="26"/>
          <w:szCs w:val="26"/>
          <w:lang w:val="ru-RU"/>
        </w:rPr>
        <w:t xml:space="preserve"> </w:t>
      </w:r>
    </w:p>
    <w:p w14:paraId="28D50E9D" w14:textId="506405D2" w:rsidR="00A205AA" w:rsidRDefault="00A205AA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Fonts w:ascii="Garamond" w:hAnsi="Garamond"/>
          <w:color w:val="000000"/>
          <w:sz w:val="26"/>
          <w:szCs w:val="26"/>
          <w:lang w:val="ru-RU"/>
        </w:rPr>
        <w:t xml:space="preserve">Форум свободных государств пост-России </w:t>
      </w:r>
      <w:hyperlink r:id="rId21" w:history="1">
        <w:r w:rsidRPr="00990963">
          <w:rPr>
            <w:rStyle w:val="Hyperlink"/>
            <w:rFonts w:ascii="Garamond" w:hAnsi="Garamond"/>
            <w:sz w:val="26"/>
            <w:szCs w:val="26"/>
            <w:lang w:val="ru-RU"/>
          </w:rPr>
          <w:t>https://www.freenationsrf.org/ru?utm_source=chatgpt.com</w:t>
        </w:r>
      </w:hyperlink>
      <w:r>
        <w:rPr>
          <w:rFonts w:ascii="Garamond" w:hAnsi="Garamond"/>
          <w:color w:val="000000"/>
          <w:sz w:val="26"/>
          <w:szCs w:val="26"/>
          <w:lang w:val="ru-RU"/>
        </w:rPr>
        <w:t xml:space="preserve"> </w:t>
      </w:r>
    </w:p>
    <w:p w14:paraId="519453EA" w14:textId="7138A16A" w:rsidR="00A205AA" w:rsidRDefault="00DE6B01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>
        <w:rPr>
          <w:rFonts w:ascii="Garamond" w:hAnsi="Garamond"/>
          <w:color w:val="000000"/>
          <w:sz w:val="26"/>
          <w:szCs w:val="26"/>
          <w:lang w:val="ru-RU"/>
        </w:rPr>
        <w:t xml:space="preserve">Михаил Ходорковский. Как убить дракона? </w:t>
      </w:r>
      <w:hyperlink r:id="rId22" w:history="1">
        <w:r w:rsidRPr="00990963">
          <w:rPr>
            <w:rStyle w:val="Hyperlink"/>
            <w:rFonts w:ascii="Garamond" w:hAnsi="Garamond"/>
            <w:sz w:val="26"/>
            <w:szCs w:val="26"/>
            <w:lang w:val="ru-RU"/>
          </w:rPr>
          <w:t>https://dragonbook.khodorkovsky.com/?utm_source=chatgpt.com</w:t>
        </w:r>
      </w:hyperlink>
      <w:r>
        <w:rPr>
          <w:rFonts w:ascii="Garamond" w:hAnsi="Garamond"/>
          <w:color w:val="000000"/>
          <w:sz w:val="26"/>
          <w:szCs w:val="26"/>
          <w:lang w:val="ru-RU"/>
        </w:rPr>
        <w:t xml:space="preserve"> </w:t>
      </w:r>
    </w:p>
    <w:p w14:paraId="33F780F1" w14:textId="578A5075" w:rsidR="00C554A7" w:rsidRPr="00207826" w:rsidRDefault="00C554A7" w:rsidP="00C554A7">
      <w:pPr>
        <w:pStyle w:val="NormalWeb"/>
        <w:rPr>
          <w:rFonts w:ascii="Garamond" w:hAnsi="Garamond"/>
          <w:color w:val="000000"/>
          <w:sz w:val="26"/>
          <w:szCs w:val="26"/>
          <w:lang w:val="ru-RU"/>
        </w:rPr>
      </w:pPr>
      <w:r w:rsidRPr="00C554A7">
        <w:rPr>
          <w:rFonts w:ascii="Garamond" w:hAnsi="Garamond"/>
          <w:color w:val="000000"/>
          <w:sz w:val="26"/>
          <w:szCs w:val="26"/>
          <w:lang w:val="ru-RU"/>
        </w:rPr>
        <w:lastRenderedPageBreak/>
        <w:br/>
      </w:r>
      <w:r w:rsidRPr="00C554A7">
        <w:rPr>
          <w:rFonts w:ascii="Garamond" w:hAnsi="Garamond"/>
          <w:color w:val="000000"/>
          <w:sz w:val="26"/>
          <w:szCs w:val="26"/>
        </w:rPr>
        <w:t>Brubaker, Rogers. "Nationalizing states revisited: Projects and processes of nationalization in post-Soviet states 1." In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Nationalism, ethnicity and boundaries</w:t>
      </w:r>
      <w:r w:rsidRPr="00C554A7">
        <w:rPr>
          <w:rFonts w:ascii="Garamond" w:hAnsi="Garamond"/>
          <w:color w:val="000000"/>
          <w:sz w:val="26"/>
          <w:szCs w:val="26"/>
        </w:rPr>
        <w:t>, pp. 165–191. Routledge, 2014.</w:t>
      </w:r>
      <w:r w:rsidRPr="00C554A7">
        <w:rPr>
          <w:rFonts w:ascii="Garamond" w:hAnsi="Garamond"/>
          <w:color w:val="000000"/>
          <w:sz w:val="26"/>
          <w:szCs w:val="26"/>
        </w:rPr>
        <w:br/>
        <w:t>Walzer, Michael.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On tolerance</w:t>
      </w:r>
      <w:r w:rsidRPr="00C554A7">
        <w:rPr>
          <w:rFonts w:ascii="Garamond" w:hAnsi="Garamond"/>
          <w:color w:val="000000"/>
          <w:sz w:val="26"/>
          <w:szCs w:val="26"/>
        </w:rPr>
        <w:t>. Yale University (1997).</w:t>
      </w:r>
      <w:r w:rsidRPr="00C554A7">
        <w:rPr>
          <w:rFonts w:ascii="Garamond" w:hAnsi="Garamond"/>
          <w:color w:val="000000"/>
          <w:sz w:val="26"/>
          <w:szCs w:val="26"/>
        </w:rPr>
        <w:br/>
        <w:t>Kymlicka, Will. "Multicultural citizenship." In</w:t>
      </w:r>
      <w:r w:rsidRPr="00C554A7">
        <w:rPr>
          <w:rStyle w:val="apple-converted-space"/>
          <w:rFonts w:ascii="Garamond" w:eastAsiaTheme="majorEastAsia" w:hAnsi="Garamond"/>
          <w:color w:val="000000"/>
          <w:sz w:val="26"/>
          <w:szCs w:val="26"/>
        </w:rPr>
        <w:t> </w:t>
      </w:r>
      <w:r w:rsidRPr="00C554A7">
        <w:rPr>
          <w:rStyle w:val="Emphasis"/>
          <w:rFonts w:ascii="Garamond" w:eastAsiaTheme="majorEastAsia" w:hAnsi="Garamond"/>
          <w:color w:val="000000"/>
          <w:sz w:val="26"/>
          <w:szCs w:val="26"/>
        </w:rPr>
        <w:t>The New Social Theory Reader</w:t>
      </w:r>
      <w:r w:rsidRPr="00C554A7">
        <w:rPr>
          <w:rFonts w:ascii="Garamond" w:hAnsi="Garamond"/>
          <w:color w:val="000000"/>
          <w:sz w:val="26"/>
          <w:szCs w:val="26"/>
        </w:rPr>
        <w:t>, pp. 270–280. Routledge, 2020</w:t>
      </w:r>
      <w:r w:rsidR="00207826">
        <w:rPr>
          <w:rFonts w:ascii="Garamond" w:hAnsi="Garamond"/>
          <w:color w:val="000000"/>
          <w:sz w:val="26"/>
          <w:szCs w:val="26"/>
          <w:lang w:val="ru-RU"/>
        </w:rPr>
        <w:t>.</w:t>
      </w:r>
    </w:p>
    <w:tbl>
      <w:tblPr>
        <w:tblW w:w="6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</w:tblGrid>
      <w:tr w:rsidR="00834CA2" w:rsidRPr="00C554A7" w14:paraId="0AA963D6" w14:textId="77777777">
        <w:tc>
          <w:tcPr>
            <w:tcW w:w="0" w:type="auto"/>
            <w:vAlign w:val="center"/>
            <w:hideMark/>
          </w:tcPr>
          <w:p w14:paraId="53D417FF" w14:textId="77777777" w:rsidR="00834CA2" w:rsidRPr="00C554A7" w:rsidRDefault="00834CA2" w:rsidP="00834CA2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ECC48DF" w14:textId="77777777" w:rsidR="00457AE8" w:rsidRPr="00207826" w:rsidRDefault="00457AE8" w:rsidP="00207826">
      <w:pPr>
        <w:rPr>
          <w:rFonts w:ascii="Garamond" w:hAnsi="Garamond" w:cs="Arial"/>
          <w:b/>
          <w:bCs/>
          <w:color w:val="212529"/>
          <w:sz w:val="26"/>
          <w:szCs w:val="26"/>
          <w:shd w:val="clear" w:color="auto" w:fill="FFFFFF"/>
          <w:lang w:val="ru-RU"/>
        </w:rPr>
      </w:pPr>
    </w:p>
    <w:sectPr w:rsidR="00457AE8" w:rsidRPr="00207826"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D48C" w14:textId="77777777" w:rsidR="006B74AA" w:rsidRDefault="006B74AA" w:rsidP="00207826">
      <w:pPr>
        <w:spacing w:after="0" w:line="240" w:lineRule="auto"/>
      </w:pPr>
      <w:r>
        <w:separator/>
      </w:r>
    </w:p>
  </w:endnote>
  <w:endnote w:type="continuationSeparator" w:id="0">
    <w:p w14:paraId="21E81AB0" w14:textId="77777777" w:rsidR="006B74AA" w:rsidRDefault="006B74AA" w:rsidP="0020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449137"/>
      <w:docPartObj>
        <w:docPartGallery w:val="Page Numbers (Bottom of Page)"/>
        <w:docPartUnique/>
      </w:docPartObj>
    </w:sdtPr>
    <w:sdtContent>
      <w:p w14:paraId="347D3FD6" w14:textId="4FC92E7F" w:rsidR="00207826" w:rsidRDefault="00207826" w:rsidP="009909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6067DC" w14:textId="77777777" w:rsidR="00207826" w:rsidRDefault="00207826" w:rsidP="002078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269177"/>
      <w:docPartObj>
        <w:docPartGallery w:val="Page Numbers (Bottom of Page)"/>
        <w:docPartUnique/>
      </w:docPartObj>
    </w:sdtPr>
    <w:sdtContent>
      <w:p w14:paraId="6FF9083F" w14:textId="37360084" w:rsidR="00207826" w:rsidRDefault="00207826" w:rsidP="009909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90E2D9F" w14:textId="77777777" w:rsidR="00207826" w:rsidRDefault="00207826" w:rsidP="002078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3DA4" w14:textId="77777777" w:rsidR="006B74AA" w:rsidRDefault="006B74AA" w:rsidP="00207826">
      <w:pPr>
        <w:spacing w:after="0" w:line="240" w:lineRule="auto"/>
      </w:pPr>
      <w:r>
        <w:separator/>
      </w:r>
    </w:p>
  </w:footnote>
  <w:footnote w:type="continuationSeparator" w:id="0">
    <w:p w14:paraId="22E56B5B" w14:textId="77777777" w:rsidR="006B74AA" w:rsidRDefault="006B74AA" w:rsidP="00207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95192"/>
    <w:multiLevelType w:val="multilevel"/>
    <w:tmpl w:val="1852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13641"/>
    <w:multiLevelType w:val="hybridMultilevel"/>
    <w:tmpl w:val="25B6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41F09"/>
    <w:multiLevelType w:val="multilevel"/>
    <w:tmpl w:val="C75A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150050">
    <w:abstractNumId w:val="0"/>
  </w:num>
  <w:num w:numId="2" w16cid:durableId="2133015225">
    <w:abstractNumId w:val="2"/>
  </w:num>
  <w:num w:numId="3" w16cid:durableId="190880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FD"/>
    <w:rsid w:val="000A1BF3"/>
    <w:rsid w:val="001479EC"/>
    <w:rsid w:val="001F1C8E"/>
    <w:rsid w:val="00207826"/>
    <w:rsid w:val="002E4D0E"/>
    <w:rsid w:val="003262CA"/>
    <w:rsid w:val="003F310F"/>
    <w:rsid w:val="00457AE8"/>
    <w:rsid w:val="004A7941"/>
    <w:rsid w:val="00535416"/>
    <w:rsid w:val="00561D00"/>
    <w:rsid w:val="005F59A4"/>
    <w:rsid w:val="00627DC8"/>
    <w:rsid w:val="006B74AA"/>
    <w:rsid w:val="006D3BDE"/>
    <w:rsid w:val="00834CA2"/>
    <w:rsid w:val="008B70AB"/>
    <w:rsid w:val="008C0D27"/>
    <w:rsid w:val="008D7DC2"/>
    <w:rsid w:val="009402DD"/>
    <w:rsid w:val="00957F04"/>
    <w:rsid w:val="00972824"/>
    <w:rsid w:val="009B6053"/>
    <w:rsid w:val="00A205AA"/>
    <w:rsid w:val="00A371FD"/>
    <w:rsid w:val="00A40052"/>
    <w:rsid w:val="00A5675C"/>
    <w:rsid w:val="00AC6BCB"/>
    <w:rsid w:val="00AD76F3"/>
    <w:rsid w:val="00B07EDD"/>
    <w:rsid w:val="00B34F65"/>
    <w:rsid w:val="00B35E5E"/>
    <w:rsid w:val="00B71F7B"/>
    <w:rsid w:val="00B86B93"/>
    <w:rsid w:val="00B879A8"/>
    <w:rsid w:val="00C554A7"/>
    <w:rsid w:val="00D55050"/>
    <w:rsid w:val="00D91EB4"/>
    <w:rsid w:val="00D934E5"/>
    <w:rsid w:val="00DE6B01"/>
    <w:rsid w:val="00DE6E53"/>
    <w:rsid w:val="00F147CD"/>
    <w:rsid w:val="00F2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22A2"/>
  <w15:chartTrackingRefBased/>
  <w15:docId w15:val="{CA8BD194-8ED7-B840-B5BE-FF1F04F5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1F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71FD"/>
    <w:rPr>
      <w:b/>
      <w:bCs/>
    </w:rPr>
  </w:style>
  <w:style w:type="paragraph" w:styleId="NormalWeb">
    <w:name w:val="Normal (Web)"/>
    <w:basedOn w:val="Normal"/>
    <w:uiPriority w:val="99"/>
    <w:unhideWhenUsed/>
    <w:rsid w:val="00A3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371FD"/>
  </w:style>
  <w:style w:type="character" w:styleId="Emphasis">
    <w:name w:val="Emphasis"/>
    <w:basedOn w:val="DefaultParagraphFont"/>
    <w:uiPriority w:val="20"/>
    <w:qFormat/>
    <w:rsid w:val="00A371FD"/>
    <w:rPr>
      <w:i/>
      <w:iCs/>
    </w:rPr>
  </w:style>
  <w:style w:type="character" w:styleId="Hyperlink">
    <w:name w:val="Hyperlink"/>
    <w:basedOn w:val="DefaultParagraphFont"/>
    <w:uiPriority w:val="99"/>
    <w:unhideWhenUsed/>
    <w:rsid w:val="00A371FD"/>
    <w:rPr>
      <w:color w:val="0000FF"/>
      <w:u w:val="single"/>
    </w:rPr>
  </w:style>
  <w:style w:type="character" w:customStyle="1" w:styleId="ms-1">
    <w:name w:val="ms-1"/>
    <w:basedOn w:val="DefaultParagraphFont"/>
    <w:rsid w:val="00B35E5E"/>
  </w:style>
  <w:style w:type="character" w:customStyle="1" w:styleId="max-w-15ch">
    <w:name w:val="max-w-[15ch]"/>
    <w:basedOn w:val="DefaultParagraphFont"/>
    <w:rsid w:val="00B35E5E"/>
  </w:style>
  <w:style w:type="character" w:styleId="UnresolvedMention">
    <w:name w:val="Unresolved Mention"/>
    <w:basedOn w:val="DefaultParagraphFont"/>
    <w:uiPriority w:val="99"/>
    <w:semiHidden/>
    <w:unhideWhenUsed/>
    <w:rsid w:val="002E4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824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07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26"/>
  </w:style>
  <w:style w:type="character" w:styleId="PageNumber">
    <w:name w:val="page number"/>
    <w:basedOn w:val="DefaultParagraphFont"/>
    <w:uiPriority w:val="99"/>
    <w:semiHidden/>
    <w:unhideWhenUsed/>
    <w:rsid w:val="0020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93/oso/9780197532768.003.0035" TargetMode="External"/><Relationship Id="rId18" Type="http://schemas.openxmlformats.org/officeDocument/2006/relationships/hyperlink" Target="https://thinktank.4freerussia.org/ru/politics/normalnaya-rossiya-budushhego-da-my-mozhe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reenationsrf.org/ru?utm_source=chatgpt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speninstitutece.org/article/2023/decolonized-russia/" TargetMode="External"/><Relationship Id="rId17" Type="http://schemas.openxmlformats.org/officeDocument/2006/relationships/hyperlink" Target="https://eng.globalaffairs.ru/articles/russian-federalism-miller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nana.12449" TargetMode="External"/><Relationship Id="rId20" Type="http://schemas.openxmlformats.org/officeDocument/2006/relationships/hyperlink" Target="https://assets.website-files.com/65c5e2a5878952603e3b9e2c/667344a2107eb09fe395e366_IGRec%20Constitution%20Project%20RU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11/nana.12449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doi.org/10.1093/oso/9780197532768.003.0035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itopys.org.ua/gellner/puti.htm" TargetMode="External"/><Relationship Id="rId19" Type="http://schemas.openxmlformats.org/officeDocument/2006/relationships/hyperlink" Target="https://memorialcenter.org/news/100-dnej-posle-putina-nash-plan-dejstvij?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litopys.org.ua/gellner/puti.htm" TargetMode="External"/><Relationship Id="rId22" Type="http://schemas.openxmlformats.org/officeDocument/2006/relationships/hyperlink" Target="https://dragonbook.khodorkovsky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44A0D3B20E4289A8D53DC8121536" ma:contentTypeVersion="18" ma:contentTypeDescription="Create a new document." ma:contentTypeScope="" ma:versionID="3506cc9d740f87e31fed8201d7449286">
  <xsd:schema xmlns:xsd="http://www.w3.org/2001/XMLSchema" xmlns:xs="http://www.w3.org/2001/XMLSchema" xmlns:p="http://schemas.microsoft.com/office/2006/metadata/properties" xmlns:ns2="f1926cb0-376a-49b8-8774-f20757e18237" xmlns:ns3="0a11ee34-b1df-4b3c-ad5f-c80e5d7155c7" targetNamespace="http://schemas.microsoft.com/office/2006/metadata/properties" ma:root="true" ma:fieldsID="fbfe937b882f0dfebd08a1456ffd23fb" ns2:_="" ns3:_="">
    <xsd:import namespace="f1926cb0-376a-49b8-8774-f20757e18237"/>
    <xsd:import namespace="0a11ee34-b1df-4b3c-ad5f-c80e5d715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6cb0-376a-49b8-8774-f20757e18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7244e5-adc1-4228-ab64-786b6954c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ee34-b1df-4b3c-ad5f-c80e5d715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846d33-b96c-4d62-b3c4-7c295c621161}" ma:internalName="TaxCatchAll" ma:showField="CatchAllData" ma:web="0a11ee34-b1df-4b3c-ad5f-c80e5d715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11ee34-b1df-4b3c-ad5f-c80e5d7155c7" xsi:nil="true"/>
    <lcf76f155ced4ddcb4097134ff3c332f xmlns="f1926cb0-376a-49b8-8774-f20757e182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56037-C438-4C8F-97F3-CE1FE166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26cb0-376a-49b8-8774-f20757e18237"/>
    <ds:schemaRef ds:uri="0a11ee34-b1df-4b3c-ad5f-c80e5d715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E6399-4D99-47AF-BE3A-95680CAA558C}">
  <ds:schemaRefs>
    <ds:schemaRef ds:uri="http://schemas.microsoft.com/office/2006/metadata/properties"/>
    <ds:schemaRef ds:uri="http://schemas.microsoft.com/office/infopath/2007/PartnerControls"/>
    <ds:schemaRef ds:uri="0a11ee34-b1df-4b3c-ad5f-c80e5d7155c7"/>
    <ds:schemaRef ds:uri="f1926cb0-376a-49b8-8774-f20757e18237"/>
  </ds:schemaRefs>
</ds:datastoreItem>
</file>

<file path=customXml/itemProps3.xml><?xml version="1.0" encoding="utf-8"?>
<ds:datastoreItem xmlns:ds="http://schemas.openxmlformats.org/officeDocument/2006/customXml" ds:itemID="{5EB9580E-E66F-4AA0-A475-A001ED6ED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1659</Words>
  <Characters>10851</Characters>
  <Application>Microsoft Office Word</Application>
  <DocSecurity>0</DocSecurity>
  <Lines>217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Dubrovsky</dc:creator>
  <cp:keywords/>
  <dc:description/>
  <cp:lastModifiedBy>Dmitry Dubrovsky</cp:lastModifiedBy>
  <cp:revision>10</cp:revision>
  <dcterms:created xsi:type="dcterms:W3CDTF">2025-12-31T08:40:00Z</dcterms:created>
  <dcterms:modified xsi:type="dcterms:W3CDTF">2025-12-31T09:09:00Z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0x01010097E344A0D3B20E4289A8D53DC8121536</vt:lpwstr>
  </property>
</Properties>
</file>