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Изучение читателя: история, методы и проблемы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В филологии существует три инстанции: инстанция текста, инстанция автора и инстанция читателя. И если первые две получают достаточно внимания исследователей, то третья до сравнительно недавнего времени оставалась в тени.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Курс нацелен на то, чтобы раскрыть для студентов эту третью инстанцию с трех сторон: история чтения как культурной и материальной практики, теории и методы, используемые для описания и изучения читателей, и, наконец, то, как выглядит современный читатель и как эти данные были получены.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Последний модуль также подразумевает самостоятельную работу студентов по наблюдению за читателями и книжным рынком.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Курс подразделяется на 4 взаимосвязанных смысловых модуля, каждый из которых может быть пройден при необходимости по отдельности, либо в каком-то из сочетаний (2+4, например).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Пункты обозначают не лекции, а скорее темы, которые планируется затрагивать в ходе модуля.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bookmarkStart w:colFirst="0" w:colLast="0" w:name="_heading=h.ojiwtx4lh5x1" w:id="0"/>
      <w:bookmarkEnd w:id="0"/>
      <w:r w:rsidDel="00000000" w:rsidR="00000000" w:rsidRPr="00000000">
        <w:rPr>
          <w:rtl w:val="0"/>
        </w:rPr>
        <w:t xml:space="preserve">Пререквизиты курса соответствуют пререквизитам программы. В конце курса студентам будет предложено написать короткое эссе, которое будет оцениваться в формате «зачет/незачет».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Модуль 1. История чтения.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Чтение в Европе до Нового времени. Свиток и кодекс, чтение вслух и про себя, пространственно-материальное измерение чтения.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Читательский взрыв XVIII века, переход от интенсивного чтения к экстенсивному, связь с литературным процессом. Вторичная грамотность.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Чтение в эпоху распространения массовой грамотности. Читательская аудитория 2 пол. XIX века. Обратная связь с читателями. Исследовательские и просветительские течения в Российской империи (Алчевская, Ан-ский и др.)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Литература: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Кавалло Г., Шартье Р. (ред.). История чтения в Западном мире от античности до наших дней. М., 2008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Алчевская Х. Что читать народу? Критический указатель книг для народного и детского чтения. М., 1888-1906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Ан-ский С.А. Народ и книга. М., 1901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Рейтблат А. И. От Бовы к Бальмонту и другие работы по исторической социологии русской литературы. – Новое лит. обозрение, 2009.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Brooks J. When Russia Learned to Read: Literacy and Popular Literature, 1861—1917. Princeton, N.J.: Princeton Univ. Press, 1985.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Лион-Каэн Ж. Серьезное прочтение романических вымыслов //Отечественные записки. 2014. № 2. С. 253-270.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Модуль 2. Изучение читателей в СССР и на постсоветском пространстве.</w:t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Социологические исследования читателей в 1920-е гг. Крестьяне и книга, рабочие и книга. 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Социология чтения в позднем СССР (“Советский читатель”, “Социология литературы”, “Книга и чтение в жизни небольших городов”)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Постсоветские исследования: Б. Дубин, Н. Зоркая. Срез читательских предпочтений начала 2000-х.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Исторические постсоветские исследования чтения. (Е. Добренко, сб. Reading in Russia)</w:t>
      </w:r>
    </w:p>
    <w:p w:rsidR="00000000" w:rsidDel="00000000" w:rsidP="00000000" w:rsidRDefault="00000000" w:rsidRPr="00000000" w14:paraId="0000002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Литература: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Топоров А.М. Крестьяне о писателях. М., Л., 1930; М., 1967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Добренко Е. Формовка советского читателя: социальные и эстетические предпосылки рецепции советской литературы. Спб., 1997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Добрынина Н. Е., Троицкая Е. Е. Советский читатель. Опыт конкретно-социологического исследования. – 1968.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Книга и чтение в жизни небольших городов. М., 1973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Дубин Б. Классика, вокруг и после (О границах и формах культурного авторитета). М., 2010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40" w:lineRule="auto"/>
        <w:ind w:left="1440" w:hanging="360"/>
        <w:rPr/>
      </w:pPr>
      <w:r w:rsidDel="00000000" w:rsidR="00000000" w:rsidRPr="00000000">
        <w:rPr>
          <w:rtl w:val="0"/>
        </w:rPr>
        <w:t xml:space="preserve">Rebecchini D., Vassena R. [eds.] Reading in Russia. Practices of Reading and Literary Communication, 1760-1930. Milan, 2013</w:t>
      </w:r>
    </w:p>
    <w:p w:rsidR="00000000" w:rsidDel="00000000" w:rsidP="00000000" w:rsidRDefault="00000000" w:rsidRPr="00000000" w14:paraId="0000002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Модуль 3. Методы и подходы к изучению читателей</w:t>
      </w:r>
    </w:p>
    <w:p w:rsidR="00000000" w:rsidDel="00000000" w:rsidP="00000000" w:rsidRDefault="00000000" w:rsidRPr="00000000" w14:paraId="0000002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Феноменологический подход. Герменевтика чтения. Reader-response criticism. Х.Р. Яусс, В. Изер. 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Антропологический поворот в исследовании чтения. Р. Шартье, М. де Серто.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Исследования чтения на малых группах. Дж. Рэдуэй, Элизабет Лонг.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Функции чтения (Р. Фелски).</w:t>
      </w:r>
    </w:p>
    <w:p w:rsidR="00000000" w:rsidDel="00000000" w:rsidP="00000000" w:rsidRDefault="00000000" w:rsidRPr="00000000" w14:paraId="0000002E">
      <w:pPr>
        <w:spacing w:after="240" w:lineRule="auto"/>
        <w:rPr/>
      </w:pPr>
      <w:r w:rsidDel="00000000" w:rsidR="00000000" w:rsidRPr="00000000">
        <w:rPr>
          <w:rtl w:val="0"/>
        </w:rPr>
        <w:t xml:space="preserve">Литература: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Изер В. Процесс чтения: феноменологический подход. М., 1989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Яусс Х.Р. История литературы как провокация литературоведения//Новое литературное обозрение, №12, 1995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i w:val="1"/>
          <w:highlight w:val="white"/>
          <w:rtl w:val="0"/>
        </w:rPr>
        <w:t xml:space="preserve">Лотман Ю. М.</w:t>
      </w:r>
      <w:r w:rsidDel="00000000" w:rsidR="00000000" w:rsidRPr="00000000">
        <w:rPr>
          <w:highlight w:val="white"/>
          <w:rtl w:val="0"/>
        </w:rPr>
        <w:t xml:space="preserve"> Текст и структура аудитории// Труды по знаковым системам. Тарту, 1977. Т. 9, С. 55-61.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Серто, М. де. Изобретение повседневности. М., 2013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Chartier, Roger,  González J. A. Laborers and Voyagers: from the text to the reader//Diacritics, Vol. 22, No. 2 (Summer, 1992)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Felski, Rita. The Uses of Literature. Blackwell Publishing, 2008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Radway, Janice. Reading the Romance. The University of North Carolina Press, 1984</w:t>
      </w:r>
    </w:p>
    <w:p w:rsidR="00000000" w:rsidDel="00000000" w:rsidP="00000000" w:rsidRDefault="00000000" w:rsidRPr="00000000" w14:paraId="00000036">
      <w:pPr>
        <w:spacing w:after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Модуль 4. Современные читатели и читательские сообщества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Круг чтения современных читателей - проблемы определения (подразумевается в т.ч. самостоятельная работа студентов с открытыми данными)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Современные исследования чтения. Количественная социология, изучение библиотечных абонементов и приложений для чтения.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Сообщества читателей и их практики. Affinity spaces, книжные клубы, образования горизонтальных связей.</w:t>
      </w:r>
    </w:p>
    <w:p w:rsidR="00000000" w:rsidDel="00000000" w:rsidP="00000000" w:rsidRDefault="00000000" w:rsidRPr="00000000" w14:paraId="0000003A">
      <w:pPr>
        <w:spacing w:after="240" w:lineRule="auto"/>
        <w:rPr/>
      </w:pPr>
      <w:r w:rsidDel="00000000" w:rsidR="00000000" w:rsidRPr="00000000">
        <w:rPr>
          <w:rtl w:val="0"/>
        </w:rPr>
        <w:t xml:space="preserve">Литература: 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before="240" w:lineRule="auto"/>
        <w:ind w:left="720" w:hanging="360"/>
        <w:jc w:val="both"/>
        <w:rPr/>
      </w:pPr>
      <w:r w:rsidDel="00000000" w:rsidR="00000000" w:rsidRPr="00000000">
        <w:rPr>
          <w:i w:val="1"/>
          <w:highlight w:val="white"/>
          <w:rtl w:val="0"/>
        </w:rPr>
        <w:t xml:space="preserve">Maryl M.</w:t>
      </w:r>
      <w:r w:rsidDel="00000000" w:rsidR="00000000" w:rsidRPr="00000000">
        <w:rPr>
          <w:highlight w:val="white"/>
          <w:rtl w:val="0"/>
        </w:rPr>
        <w:t xml:space="preserve"> Virtual communities – real readers: New data in empirical studies of literature// Auracher J., van Peer W. (eds.). New beginnings in literary studies, 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i w:val="1"/>
          <w:highlight w:val="white"/>
          <w:rtl w:val="0"/>
        </w:rPr>
        <w:t xml:space="preserve">Maryl, Maciej.</w:t>
      </w:r>
      <w:r w:rsidDel="00000000" w:rsidR="00000000" w:rsidRPr="00000000">
        <w:rPr>
          <w:highlight w:val="white"/>
          <w:rtl w:val="0"/>
        </w:rPr>
        <w:t xml:space="preserve"> Czytanie romansu online. Kolektywny odbiór literatury w Internecie// </w:t>
      </w:r>
      <w:r w:rsidDel="00000000" w:rsidR="00000000" w:rsidRPr="00000000">
        <w:rPr>
          <w:rtl w:val="0"/>
        </w:rPr>
        <w:t xml:space="preserve">Tropy literatury i kultury popularnej. Warszawa, 2014. С. 321-340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Collinson, I., 2009. Everyday readers: reading and popular culture. Equinox, London ; Oakville, CT.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Curwood, J. S. (2013). "The Hunger Games": Literature, Literacy, and Online Affinity Spaces. Language Arts, 90(6), 417-427.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Lammers, J., Curwood, J. S., &amp; Magnifico, A. (2012). Toward an affinity space methodology: Considerations for literacy research.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http://hdl.handle.net/1802/27489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Соколов М. М., Соколова Н. А., Сафонова М. А. Статусные культуры, биографические циклы и поколенческие изменения в литературных вкусах читателей петербургских библиотек //Журнал социологии и социальной антропологии. – 2016. – Т. 19. – №. 3. – С. 116-135.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Самутина Н. Практики эмоционального чтения и любительская литература (фанфикшн)// Новое литературное обозрение, №1, 2017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Braslavski et al. 2016: Braslavski P. et al. Large‐scale log analysis of digital reading //Proceedings of the Association for Information Science and Technology. 2016. Т. 53. № 1, С. 1-10.</w:t>
      </w:r>
    </w:p>
    <w:p w:rsidR="00000000" w:rsidDel="00000000" w:rsidP="00000000" w:rsidRDefault="00000000" w:rsidRPr="00000000" w14:paraId="00000043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Обязательный лектюр: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Изер В. Процесс чтения: феноменологический подход. М., 1989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Кавалло Г., Шартье Р. (ред.). История чтения в Западном мире от античности до наших дней. М., 2008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Серто, М. де. Изобретение повседневности. М., 2013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Radway, Janice. Reading the Romance. The University of North Carolina Press, 1984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Яусс Х.Р. История литературы как провокация литературоведения//Новое литературное обозрение, №12, 1995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i w:val="1"/>
          <w:highlight w:val="white"/>
          <w:rtl w:val="0"/>
        </w:rPr>
        <w:t xml:space="preserve">Лотман Ю. М.</w:t>
      </w:r>
      <w:r w:rsidDel="00000000" w:rsidR="00000000" w:rsidRPr="00000000">
        <w:rPr>
          <w:highlight w:val="white"/>
          <w:rtl w:val="0"/>
        </w:rPr>
        <w:t xml:space="preserve"> Текст и структура аудитории// Труды по знаковым системам. Тарту, 1977. Т. 9, С. 55-61.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240" w:lineRule="auto"/>
        <w:ind w:left="720" w:hanging="360"/>
        <w:rPr>
          <w:highlight w:val="white"/>
        </w:rPr>
      </w:pPr>
      <w:r w:rsidDel="00000000" w:rsidR="00000000" w:rsidRPr="00000000">
        <w:rPr>
          <w:rtl w:val="0"/>
        </w:rPr>
        <w:t xml:space="preserve">Griswold, W., McDonnell, T., Wright, N., 2005. Reading and the Reading Class in the Twenty-First Century. Annual Review of Sociology. 31, 127–141.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4D">
      <w:pPr>
        <w:spacing w:after="240" w:lineRule="auto"/>
        <w:rPr/>
      </w:pPr>
      <w:r w:rsidDel="00000000" w:rsidR="00000000" w:rsidRPr="00000000">
        <w:rPr>
          <w:rtl w:val="0"/>
        </w:rPr>
        <w:t xml:space="preserve">Алчевская Х. Что читать народу? Критический указатель книг для народного и детского чтения. М., 1888-1906</w:t>
      </w:r>
    </w:p>
    <w:p w:rsidR="00000000" w:rsidDel="00000000" w:rsidP="00000000" w:rsidRDefault="00000000" w:rsidRPr="00000000" w14:paraId="0000004E">
      <w:pPr>
        <w:spacing w:after="240" w:lineRule="auto"/>
        <w:rPr/>
      </w:pPr>
      <w:r w:rsidDel="00000000" w:rsidR="00000000" w:rsidRPr="00000000">
        <w:rPr>
          <w:rtl w:val="0"/>
        </w:rPr>
        <w:t xml:space="preserve">Ан-ский С.А. Народ и книга. М., 1901</w:t>
      </w:r>
    </w:p>
    <w:p w:rsidR="00000000" w:rsidDel="00000000" w:rsidP="00000000" w:rsidRDefault="00000000" w:rsidRPr="00000000" w14:paraId="0000004F">
      <w:pPr>
        <w:spacing w:after="240" w:lineRule="auto"/>
        <w:rPr/>
      </w:pPr>
      <w:r w:rsidDel="00000000" w:rsidR="00000000" w:rsidRPr="00000000">
        <w:rPr>
          <w:rtl w:val="0"/>
        </w:rPr>
        <w:t xml:space="preserve">Добренко Е. Формовка советского читателя: социальные и эстетические предпосылки рецепции советской литературы. Спб., 1997</w:t>
      </w:r>
    </w:p>
    <w:p w:rsidR="00000000" w:rsidDel="00000000" w:rsidP="00000000" w:rsidRDefault="00000000" w:rsidRPr="00000000" w14:paraId="00000050">
      <w:pPr>
        <w:spacing w:after="240" w:lineRule="auto"/>
        <w:rPr/>
      </w:pPr>
      <w:r w:rsidDel="00000000" w:rsidR="00000000" w:rsidRPr="00000000">
        <w:rPr>
          <w:rtl w:val="0"/>
        </w:rPr>
        <w:t xml:space="preserve">Дубин Б. Классика, вокруг и после (О границах и формах культурного авторитета). М., 2010</w:t>
      </w:r>
    </w:p>
    <w:p w:rsidR="00000000" w:rsidDel="00000000" w:rsidP="00000000" w:rsidRDefault="00000000" w:rsidRPr="00000000" w14:paraId="00000051">
      <w:pPr>
        <w:spacing w:after="240" w:lineRule="auto"/>
        <w:rPr/>
      </w:pPr>
      <w:r w:rsidDel="00000000" w:rsidR="00000000" w:rsidRPr="00000000">
        <w:rPr>
          <w:rtl w:val="0"/>
        </w:rPr>
        <w:t xml:space="preserve">Изер В. Процесс чтения: феноменологический подход. М., 1989</w:t>
      </w:r>
    </w:p>
    <w:p w:rsidR="00000000" w:rsidDel="00000000" w:rsidP="00000000" w:rsidRDefault="00000000" w:rsidRPr="00000000" w14:paraId="00000052">
      <w:pPr>
        <w:spacing w:after="240" w:lineRule="auto"/>
        <w:rPr/>
      </w:pPr>
      <w:r w:rsidDel="00000000" w:rsidR="00000000" w:rsidRPr="00000000">
        <w:rPr>
          <w:rtl w:val="0"/>
        </w:rPr>
        <w:t xml:space="preserve">Дубин Б., Зоркая Н. Идея классики и ее социальные функции // Проблемы социологии литературы за рубежом, М., ИНИОН, 1983</w:t>
      </w:r>
    </w:p>
    <w:p w:rsidR="00000000" w:rsidDel="00000000" w:rsidP="00000000" w:rsidRDefault="00000000" w:rsidRPr="00000000" w14:paraId="00000053">
      <w:pPr>
        <w:spacing w:after="240" w:lineRule="auto"/>
        <w:rPr/>
      </w:pPr>
      <w:r w:rsidDel="00000000" w:rsidR="00000000" w:rsidRPr="00000000">
        <w:rPr>
          <w:rtl w:val="0"/>
        </w:rPr>
        <w:t xml:space="preserve">Рейтблат А. И. От Бовы к Бальмонту и другие работы по исторической социологии русской литературы. – Новое лит. обозрение, 2009.</w:t>
      </w:r>
    </w:p>
    <w:p w:rsidR="00000000" w:rsidDel="00000000" w:rsidP="00000000" w:rsidRDefault="00000000" w:rsidRPr="00000000" w14:paraId="00000054">
      <w:pPr>
        <w:spacing w:after="240" w:lineRule="auto"/>
        <w:rPr/>
      </w:pPr>
      <w:r w:rsidDel="00000000" w:rsidR="00000000" w:rsidRPr="00000000">
        <w:rPr>
          <w:rtl w:val="0"/>
        </w:rPr>
        <w:t xml:space="preserve">Кавалло Г., Шартье Р. (ред.). История чтения в Западном мире от античности до наших дней. М., 2008</w:t>
      </w:r>
    </w:p>
    <w:p w:rsidR="00000000" w:rsidDel="00000000" w:rsidP="00000000" w:rsidRDefault="00000000" w:rsidRPr="00000000" w14:paraId="00000055">
      <w:pPr>
        <w:spacing w:after="240" w:lineRule="auto"/>
        <w:rPr/>
      </w:pPr>
      <w:r w:rsidDel="00000000" w:rsidR="00000000" w:rsidRPr="00000000">
        <w:rPr>
          <w:rtl w:val="0"/>
        </w:rPr>
        <w:t xml:space="preserve">Рубакин Н.А. Этюды о русской читающей публике. Факты, цифры и наблюдения. Спб., 1895</w:t>
      </w:r>
    </w:p>
    <w:p w:rsidR="00000000" w:rsidDel="00000000" w:rsidP="00000000" w:rsidRDefault="00000000" w:rsidRPr="00000000" w14:paraId="00000056">
      <w:pPr>
        <w:spacing w:after="240" w:lineRule="auto"/>
        <w:rPr/>
      </w:pPr>
      <w:r w:rsidDel="00000000" w:rsidR="00000000" w:rsidRPr="00000000">
        <w:rPr>
          <w:rtl w:val="0"/>
        </w:rPr>
        <w:t xml:space="preserve">Brooks J. When Russia Learned to Read: Literacy and Popular Literature, 1861—1917. Princeton, N.J.: Princeton Univ. Press, 1985.</w:t>
      </w:r>
    </w:p>
    <w:p w:rsidR="00000000" w:rsidDel="00000000" w:rsidP="00000000" w:rsidRDefault="00000000" w:rsidRPr="00000000" w14:paraId="00000057">
      <w:pPr>
        <w:spacing w:after="240" w:lineRule="auto"/>
        <w:rPr/>
      </w:pPr>
      <w:r w:rsidDel="00000000" w:rsidR="00000000" w:rsidRPr="00000000">
        <w:rPr>
          <w:rtl w:val="0"/>
        </w:rPr>
        <w:t xml:space="preserve">Серто, М. де. Изобретение повседневности. М., 2013</w:t>
      </w:r>
    </w:p>
    <w:p w:rsidR="00000000" w:rsidDel="00000000" w:rsidP="00000000" w:rsidRDefault="00000000" w:rsidRPr="00000000" w14:paraId="00000058">
      <w:pPr>
        <w:spacing w:after="240" w:lineRule="auto"/>
        <w:rPr/>
      </w:pPr>
      <w:r w:rsidDel="00000000" w:rsidR="00000000" w:rsidRPr="00000000">
        <w:rPr>
          <w:rtl w:val="0"/>
        </w:rPr>
        <w:t xml:space="preserve">Добрынина Н. Е., Троицкая Е. Е. Советский читатель. Опыт конкретно-социологического исследования. – 1968.</w:t>
      </w:r>
    </w:p>
    <w:p w:rsidR="00000000" w:rsidDel="00000000" w:rsidP="00000000" w:rsidRDefault="00000000" w:rsidRPr="00000000" w14:paraId="00000059">
      <w:pPr>
        <w:spacing w:after="240" w:lineRule="auto"/>
        <w:rPr/>
      </w:pPr>
      <w:r w:rsidDel="00000000" w:rsidR="00000000" w:rsidRPr="00000000">
        <w:rPr>
          <w:rtl w:val="0"/>
        </w:rPr>
        <w:t xml:space="preserve">Книга и чтение в жизни небольших городов. М., 1973. </w:t>
      </w:r>
    </w:p>
    <w:p w:rsidR="00000000" w:rsidDel="00000000" w:rsidP="00000000" w:rsidRDefault="00000000" w:rsidRPr="00000000" w14:paraId="0000005A">
      <w:pPr>
        <w:spacing w:after="240" w:lineRule="auto"/>
        <w:rPr/>
      </w:pPr>
      <w:r w:rsidDel="00000000" w:rsidR="00000000" w:rsidRPr="00000000">
        <w:rPr>
          <w:rtl w:val="0"/>
        </w:rPr>
        <w:t xml:space="preserve">Топоров А.М. Крестьяне о писателях. М., Л., 1930; М., 1967</w:t>
      </w:r>
    </w:p>
    <w:p w:rsidR="00000000" w:rsidDel="00000000" w:rsidP="00000000" w:rsidRDefault="00000000" w:rsidRPr="00000000" w14:paraId="0000005B">
      <w:pPr>
        <w:spacing w:after="240" w:lineRule="auto"/>
        <w:rPr/>
      </w:pPr>
      <w:r w:rsidDel="00000000" w:rsidR="00000000" w:rsidRPr="00000000">
        <w:rPr>
          <w:rtl w:val="0"/>
        </w:rPr>
        <w:t xml:space="preserve">Яусс Х.Р. История литературы как провокация литературоведения//Новое литературное обозрение, №12, 1995</w:t>
      </w:r>
    </w:p>
    <w:p w:rsidR="00000000" w:rsidDel="00000000" w:rsidP="00000000" w:rsidRDefault="00000000" w:rsidRPr="00000000" w14:paraId="0000005C">
      <w:pPr>
        <w:spacing w:after="240" w:lineRule="auto"/>
        <w:rPr/>
      </w:pPr>
      <w:r w:rsidDel="00000000" w:rsidR="00000000" w:rsidRPr="00000000">
        <w:rPr>
          <w:rtl w:val="0"/>
        </w:rPr>
        <w:t xml:space="preserve">Chartier, Roger,  González J. A. Laborers and Voyagers: from the text to the reader//Diacritics, Vol. 22, No. 2 (Summer, 1992)</w:t>
      </w:r>
    </w:p>
    <w:p w:rsidR="00000000" w:rsidDel="00000000" w:rsidP="00000000" w:rsidRDefault="00000000" w:rsidRPr="00000000" w14:paraId="0000005D">
      <w:pPr>
        <w:spacing w:after="240" w:lineRule="auto"/>
        <w:rPr/>
      </w:pPr>
      <w:r w:rsidDel="00000000" w:rsidR="00000000" w:rsidRPr="00000000">
        <w:rPr>
          <w:rtl w:val="0"/>
        </w:rPr>
        <w:t xml:space="preserve">Felski, Rita. The Uses of Literature. Blackwell Publishing, 2008</w:t>
      </w:r>
    </w:p>
    <w:p w:rsidR="00000000" w:rsidDel="00000000" w:rsidP="00000000" w:rsidRDefault="00000000" w:rsidRPr="00000000" w14:paraId="0000005E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Maryl M.</w:t>
      </w:r>
      <w:r w:rsidDel="00000000" w:rsidR="00000000" w:rsidRPr="00000000">
        <w:rPr>
          <w:highlight w:val="white"/>
          <w:rtl w:val="0"/>
        </w:rPr>
        <w:t xml:space="preserve"> Virtual communities – real readers: New data in empirical studies of literature// Auracher J., van Peer W. (eds.). New beginnings in literary studies, 2008.</w:t>
      </w:r>
    </w:p>
    <w:p w:rsidR="00000000" w:rsidDel="00000000" w:rsidP="00000000" w:rsidRDefault="00000000" w:rsidRPr="00000000" w14:paraId="0000005F">
      <w:pPr>
        <w:spacing w:after="240" w:before="240" w:lineRule="auto"/>
        <w:jc w:val="both"/>
        <w:rPr/>
      </w:pPr>
      <w:r w:rsidDel="00000000" w:rsidR="00000000" w:rsidRPr="00000000">
        <w:rPr>
          <w:i w:val="1"/>
          <w:highlight w:val="white"/>
          <w:rtl w:val="0"/>
        </w:rPr>
        <w:t xml:space="preserve">Maryl, Maciej.</w:t>
      </w:r>
      <w:r w:rsidDel="00000000" w:rsidR="00000000" w:rsidRPr="00000000">
        <w:rPr>
          <w:highlight w:val="white"/>
          <w:rtl w:val="0"/>
        </w:rPr>
        <w:t xml:space="preserve"> Czytanie romansu online. Kolektywny odbiór literatury w Internecie// </w:t>
      </w:r>
      <w:r w:rsidDel="00000000" w:rsidR="00000000" w:rsidRPr="00000000">
        <w:rPr>
          <w:rtl w:val="0"/>
        </w:rPr>
        <w:t xml:space="preserve">Tropy literatury i kultury popularnej. Warszawa, 2014. С. 321-340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lineRule="auto"/>
        <w:rPr/>
      </w:pPr>
      <w:r w:rsidDel="00000000" w:rsidR="00000000" w:rsidRPr="00000000">
        <w:rPr>
          <w:rtl w:val="0"/>
        </w:rPr>
        <w:t xml:space="preserve">Radway, Janice. Reading the Romance. The University of North Carolina Press, 1984</w:t>
      </w:r>
    </w:p>
    <w:p w:rsidR="00000000" w:rsidDel="00000000" w:rsidP="00000000" w:rsidRDefault="00000000" w:rsidRPr="00000000" w14:paraId="00000061">
      <w:pPr>
        <w:spacing w:after="240" w:lineRule="auto"/>
        <w:rPr/>
      </w:pPr>
      <w:r w:rsidDel="00000000" w:rsidR="00000000" w:rsidRPr="00000000">
        <w:rPr>
          <w:rtl w:val="0"/>
        </w:rPr>
        <w:t xml:space="preserve">Rebecchini D., Vassena R. [eds.] Reading in Russia. Practices of Reading and Literary Communication, 1760-1930. Milan, 2013</w:t>
      </w:r>
    </w:p>
    <w:p w:rsidR="00000000" w:rsidDel="00000000" w:rsidP="00000000" w:rsidRDefault="00000000" w:rsidRPr="00000000" w14:paraId="00000062">
      <w:pPr>
        <w:spacing w:after="240" w:lineRule="auto"/>
        <w:rPr/>
      </w:pPr>
      <w:r w:rsidDel="00000000" w:rsidR="00000000" w:rsidRPr="00000000">
        <w:rPr>
          <w:rtl w:val="0"/>
        </w:rPr>
        <w:t xml:space="preserve">Baym, N.K., 2000. Tune in, log on: soaps, fandom, and online community, New media cultures. Sage Publications, Thousand Oaks, Calif.</w:t>
      </w:r>
    </w:p>
    <w:p w:rsidR="00000000" w:rsidDel="00000000" w:rsidP="00000000" w:rsidRDefault="00000000" w:rsidRPr="00000000" w14:paraId="00000063">
      <w:pPr>
        <w:spacing w:after="240" w:lineRule="auto"/>
        <w:rPr/>
      </w:pPr>
      <w:r w:rsidDel="00000000" w:rsidR="00000000" w:rsidRPr="00000000">
        <w:rPr>
          <w:rtl w:val="0"/>
        </w:rPr>
        <w:t xml:space="preserve">Collinson, I., 2009. Everyday readers: reading and popular culture. Equinox, London ; Oakville, CT.</w:t>
      </w:r>
    </w:p>
    <w:p w:rsidR="00000000" w:rsidDel="00000000" w:rsidP="00000000" w:rsidRDefault="00000000" w:rsidRPr="00000000" w14:paraId="00000064">
      <w:pPr>
        <w:spacing w:after="240" w:lineRule="auto"/>
        <w:rPr/>
      </w:pPr>
      <w:r w:rsidDel="00000000" w:rsidR="00000000" w:rsidRPr="00000000">
        <w:rPr>
          <w:rtl w:val="0"/>
        </w:rPr>
        <w:t xml:space="preserve">Curwood, J. S. (2013). "The Hunger Games": Literature, Literacy, and Online Affinity Spaces. Language Arts, 90(6), 417-427.</w:t>
      </w:r>
    </w:p>
    <w:p w:rsidR="00000000" w:rsidDel="00000000" w:rsidP="00000000" w:rsidRDefault="00000000" w:rsidRPr="00000000" w14:paraId="00000065">
      <w:pPr>
        <w:spacing w:after="240" w:lineRule="auto"/>
        <w:rPr/>
      </w:pPr>
      <w:r w:rsidDel="00000000" w:rsidR="00000000" w:rsidRPr="00000000">
        <w:rPr>
          <w:rtl w:val="0"/>
        </w:rPr>
        <w:t xml:space="preserve">Gee, J. (2005). Semiotic social spaces and affinity spaces: From The Age of Mythology to today's schools. In D. Barton &amp; K. Tusting (Eds.), Beyond Communities of Practice: Language Power and Social Context, pp. 214-232). Cambridge: Cambridge University Press. doi:10.1017/CBO9780511610554.012 </w:t>
      </w:r>
    </w:p>
    <w:p w:rsidR="00000000" w:rsidDel="00000000" w:rsidP="00000000" w:rsidRDefault="00000000" w:rsidRPr="00000000" w14:paraId="00000066">
      <w:pPr>
        <w:spacing w:after="240" w:lineRule="auto"/>
        <w:rPr/>
      </w:pPr>
      <w:r w:rsidDel="00000000" w:rsidR="00000000" w:rsidRPr="00000000">
        <w:rPr>
          <w:rtl w:val="0"/>
        </w:rPr>
        <w:t xml:space="preserve">Griswold, W., McDonnell, T., Wright, N., 2005. Reading and the Reading Class in the Twenty-First Century. Annual Review of Sociology. 31, 127–141. https://doi.org/10.1146/annurev.soc.31.041304.122312</w:t>
      </w:r>
    </w:p>
    <w:p w:rsidR="00000000" w:rsidDel="00000000" w:rsidP="00000000" w:rsidRDefault="00000000" w:rsidRPr="00000000" w14:paraId="00000067">
      <w:pPr>
        <w:spacing w:after="240" w:lineRule="auto"/>
        <w:rPr/>
      </w:pPr>
      <w:r w:rsidDel="00000000" w:rsidR="00000000" w:rsidRPr="00000000">
        <w:rPr>
          <w:rtl w:val="0"/>
        </w:rPr>
        <w:t xml:space="preserve">Lammers, J., Curwood, J. S., &amp; Magnifico, A. (2012). Toward an affinity space methodology: Considerations for literacy research.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http://hdl.handle.net/1802/27489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lineRule="auto"/>
        <w:rPr/>
      </w:pPr>
      <w:r w:rsidDel="00000000" w:rsidR="00000000" w:rsidRPr="00000000">
        <w:rPr>
          <w:rtl w:val="0"/>
        </w:rPr>
        <w:t xml:space="preserve">Vlieghe, J., Muls, J., Rutten, K., 2016. Everybody reads: Reader engagement with literature in social media environments. Poetics 54, 25–37.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https://doi.org/10.1016/j.poetic.2015.09.001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40" w:lineRule="auto"/>
        <w:rPr/>
      </w:pPr>
      <w:r w:rsidDel="00000000" w:rsidR="00000000" w:rsidRPr="00000000">
        <w:rPr>
          <w:rtl w:val="0"/>
        </w:rPr>
        <w:t xml:space="preserve">Соколов М. М., Соколова Н. А., Сафонова М. А. Статусные культуры, биографические циклы и поколенческие изменения в литературных вкусах читателей петербургских библиотек //Журнал социологии и социальной антропологии. – 2016. – Т. 19. – №. 3. – С. 116-135.</w:t>
      </w:r>
    </w:p>
    <w:p w:rsidR="00000000" w:rsidDel="00000000" w:rsidP="00000000" w:rsidRDefault="00000000" w:rsidRPr="00000000" w14:paraId="0000006A">
      <w:pPr>
        <w:spacing w:after="240" w:lineRule="auto"/>
        <w:rPr/>
      </w:pPr>
      <w:r w:rsidDel="00000000" w:rsidR="00000000" w:rsidRPr="00000000">
        <w:rPr>
          <w:rtl w:val="0"/>
        </w:rPr>
        <w:t xml:space="preserve">Самутина Н. Практики эмоционального чтения и любительская литература (фанфикшн)// Новое литературное обозрение, №1, 2017</w:t>
      </w:r>
    </w:p>
    <w:p w:rsidR="00000000" w:rsidDel="00000000" w:rsidP="00000000" w:rsidRDefault="00000000" w:rsidRPr="00000000" w14:paraId="0000006B">
      <w:pPr>
        <w:spacing w:after="240" w:lineRule="auto"/>
        <w:rPr/>
      </w:pPr>
      <w:r w:rsidDel="00000000" w:rsidR="00000000" w:rsidRPr="00000000">
        <w:rPr>
          <w:rtl w:val="0"/>
        </w:rPr>
        <w:t xml:space="preserve">Самутина Н. Великие читательницы: фанфикшн как форма литературного опыта //Социологическое обозрение. – 2013. – Т. 12. – №. 3. – С. 137-194.</w:t>
      </w:r>
    </w:p>
    <w:p w:rsidR="00000000" w:rsidDel="00000000" w:rsidP="00000000" w:rsidRDefault="00000000" w:rsidRPr="00000000" w14:paraId="0000006C">
      <w:pPr>
        <w:spacing w:after="240" w:lineRule="auto"/>
        <w:rPr/>
      </w:pPr>
      <w:r w:rsidDel="00000000" w:rsidR="00000000" w:rsidRPr="00000000">
        <w:rPr>
          <w:rtl w:val="0"/>
        </w:rPr>
        <w:t xml:space="preserve">Эко У. Роль читателя. М., СПб., 2006</w:t>
      </w:r>
    </w:p>
    <w:p w:rsidR="00000000" w:rsidDel="00000000" w:rsidP="00000000" w:rsidRDefault="00000000" w:rsidRPr="00000000" w14:paraId="0000006D">
      <w:pPr>
        <w:spacing w:after="240" w:lineRule="auto"/>
        <w:rPr/>
      </w:pPr>
      <w:r w:rsidDel="00000000" w:rsidR="00000000" w:rsidRPr="00000000">
        <w:rPr>
          <w:rtl w:val="0"/>
        </w:rPr>
        <w:t xml:space="preserve">Long E. Book Clubs: Women and the Uses of Reading in Everyday Life. Chicago: Univ. Chicago Press, 2003.</w:t>
      </w:r>
    </w:p>
    <w:p w:rsidR="00000000" w:rsidDel="00000000" w:rsidP="00000000" w:rsidRDefault="00000000" w:rsidRPr="00000000" w14:paraId="0000006E">
      <w:pPr>
        <w:spacing w:after="240" w:lineRule="auto"/>
        <w:rPr/>
      </w:pPr>
      <w:r w:rsidDel="00000000" w:rsidR="00000000" w:rsidRPr="00000000">
        <w:rPr>
          <w:rtl w:val="0"/>
        </w:rPr>
        <w:t xml:space="preserve">Suleiman S. R., Crosman I. (eds.). The reader in the text: Essays on audience and interpretation. – Princeton University Press, 2014. – Т. 617.</w:t>
      </w:r>
    </w:p>
    <w:p w:rsidR="00000000" w:rsidDel="00000000" w:rsidP="00000000" w:rsidRDefault="00000000" w:rsidRPr="00000000" w14:paraId="0000006F">
      <w:pPr>
        <w:spacing w:after="240" w:lineRule="auto"/>
        <w:rPr/>
      </w:pPr>
      <w:r w:rsidDel="00000000" w:rsidR="00000000" w:rsidRPr="00000000">
        <w:rPr>
          <w:highlight w:val="white"/>
          <w:rtl w:val="0"/>
        </w:rPr>
        <w:t xml:space="preserve">Braslavski et al. 2016:</w:t>
      </w:r>
      <w:r w:rsidDel="00000000" w:rsidR="00000000" w:rsidRPr="00000000">
        <w:rPr>
          <w:i w:val="1"/>
          <w:highlight w:val="white"/>
          <w:rtl w:val="0"/>
        </w:rPr>
        <w:t xml:space="preserve"> Braslavski P. et al.</w:t>
      </w:r>
      <w:r w:rsidDel="00000000" w:rsidR="00000000" w:rsidRPr="00000000">
        <w:rPr>
          <w:highlight w:val="white"/>
          <w:rtl w:val="0"/>
        </w:rPr>
        <w:t xml:space="preserve"> Large‐scale log analysis of digital reading //Proceedings of the Association for Information Science and Technology. 2016. Т. 53. № 1, С. 1-10.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1016/j.poetic.2015.09.00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hdl.handle.net/1802/27489" TargetMode="External"/><Relationship Id="rId8" Type="http://schemas.openxmlformats.org/officeDocument/2006/relationships/hyperlink" Target="http://hdl.handle.net/1802/2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aVsxZPpvRdV3DYlVk7nXCpMd1A==">CgMxLjAyDmgub2ppd3R4NGxoNXgxOAByITF4QzduVlBIT0pNOGs5NWZjWlo3NFpwbGNYb0lTQlV2LQ==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2023-08-21T14:49:00Z</dcterms:created>
</cp:coreProperties>
</file>