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 A"/>
        <w:jc w:val="center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Европейский единый рынок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взгляд через теорию общественного выбора</w:t>
      </w:r>
    </w:p>
    <w:p>
      <w:pPr>
        <w:pStyle w:val="Текстовый блок A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Преподаватель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: 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Екатерина Трубникова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доктор экономических наук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автор статей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опубликованных в академических научных изданиях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включая такие журналы</w:t>
      </w:r>
      <w:r>
        <w:rPr>
          <w:rFonts w:ascii="Times" w:hAnsi="Times"/>
          <w:sz w:val="28"/>
          <w:szCs w:val="28"/>
          <w:rtl w:val="0"/>
          <w:lang w:val="ru-RU"/>
        </w:rPr>
        <w:t>,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как </w:t>
      </w:r>
      <w:r>
        <w:rPr>
          <w:rFonts w:ascii="Times" w:hAnsi="Times"/>
          <w:sz w:val="28"/>
          <w:szCs w:val="28"/>
          <w:rtl w:val="0"/>
          <w:lang w:val="ru-RU"/>
        </w:rPr>
        <w:t>Minerva</w:t>
      </w:r>
      <w:r>
        <w:rPr>
          <w:rFonts w:ascii="Times" w:hAnsi="Times"/>
          <w:sz w:val="28"/>
          <w:szCs w:val="28"/>
          <w:rtl w:val="0"/>
          <w:lang w:val="en-US"/>
        </w:rPr>
        <w:t>,</w:t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  <w:r>
        <w:rPr>
          <w:rFonts w:ascii="Times" w:hAnsi="Times"/>
          <w:sz w:val="28"/>
          <w:szCs w:val="28"/>
          <w:rtl w:val="0"/>
          <w:lang w:val="fr-FR"/>
        </w:rPr>
        <w:t>Economic Affairs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Вопросы экономики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Мир России и др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  <w:lang w:val="ru-RU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Научные интересы автора курса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: </w:t>
      </w:r>
      <w:r>
        <w:rPr>
          <w:rFonts w:ascii="Times" w:hAnsi="Times" w:hint="default"/>
          <w:sz w:val="28"/>
          <w:szCs w:val="28"/>
          <w:rtl w:val="0"/>
          <w:lang w:val="ru-RU"/>
        </w:rPr>
        <w:t>теория общественного выбора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анализ </w:t>
      </w:r>
      <w:r>
        <w:rPr>
          <w:rFonts w:ascii="Times" w:hAnsi="Times" w:hint="default"/>
          <w:sz w:val="28"/>
          <w:szCs w:val="28"/>
          <w:rtl w:val="0"/>
          <w:lang w:val="ru-RU"/>
        </w:rPr>
        <w:t>экономической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политики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политики в области науки и образования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теория захвата регулирования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исследование коррупции и проблем конфликта интересов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Краткое описание курса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Курс посвящен особенностям единого европейского рынка и включает в себя анализ институциональных особенностей стран Европы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приоритетов европейской экономической политики и их влияния на бизнес и общество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Для анализа государственного регулирования используется теория общественного выбора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Акцент сделан на нерыночных механизмах конкурентной борьбы и лоббировании интересов отдельных групп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Затрагиваются вопросы государственного вмешательства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регулирования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дерегулирования и либерализации отдельных видов деятельности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На этом курсе слушатели научатся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— понимать основы функционирования единого Европейского рынка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— разбираться в вопросах регулирования экономической деятельности в странах ЕС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в особенностях европейской экономической политики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— анализировать бизнес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окружение и принимать управленческие решения для начала или развития бизнеса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— понимать различия в налоговых системах европейских стран и применять полученные знания для планирования экономической деятельности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Курс будет полезен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— тем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кто планирует развитие бизнеса в европейских странах</w:t>
      </w:r>
      <w:r>
        <w:rPr>
          <w:rFonts w:ascii="Times" w:hAnsi="Times"/>
          <w:sz w:val="28"/>
          <w:szCs w:val="28"/>
          <w:rtl w:val="0"/>
          <w:lang w:val="ru-RU"/>
        </w:rPr>
        <w:t xml:space="preserve">;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— тем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кто работает в компаниях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ориентированных на европейский рынок</w:t>
      </w:r>
      <w:r>
        <w:rPr>
          <w:rFonts w:ascii="Times" w:hAnsi="Times"/>
          <w:sz w:val="28"/>
          <w:szCs w:val="28"/>
          <w:rtl w:val="0"/>
          <w:lang w:val="ru-RU"/>
        </w:rPr>
        <w:t xml:space="preserve">;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— тем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кто хочет взглянуть на европейское пространство с разных сторон</w:t>
      </w:r>
      <w:r>
        <w:rPr>
          <w:rFonts w:ascii="Times" w:hAnsi="Times"/>
          <w:sz w:val="28"/>
          <w:szCs w:val="28"/>
          <w:rtl w:val="0"/>
          <w:lang w:val="ru-RU"/>
        </w:rPr>
        <w:t>;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— а также тем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кто просто интересуется общими проблемами экономического развития современного общества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Отдельные материалы этого курса читались студентам Высшей Школы Экономики в рамках дисциплины Управление проектами в Европе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а также в рамках открытых лекций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Как устроен курс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>?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Курс состоит из лекционных занятий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где обсуждаются теоретические вопросы и представляется общая информация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касающаяся функционирования европейского рынка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 практических семинаров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которые включают групповые обсуждения и разбор конкретных бизнес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кейсов и примеров европейской экономической политики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Каждую неделю — </w:t>
      </w:r>
      <w:r>
        <w:rPr>
          <w:rFonts w:ascii="Times" w:hAnsi="Times"/>
          <w:sz w:val="28"/>
          <w:szCs w:val="28"/>
          <w:rtl w:val="0"/>
          <w:lang w:val="ru-RU"/>
        </w:rPr>
        <w:t xml:space="preserve">2 </w:t>
      </w:r>
      <w:r>
        <w:rPr>
          <w:rFonts w:ascii="Times" w:hAnsi="Times" w:hint="default"/>
          <w:sz w:val="28"/>
          <w:szCs w:val="28"/>
          <w:rtl w:val="0"/>
          <w:lang w:val="ru-RU"/>
        </w:rPr>
        <w:t>пары вечерних занятий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В качестве итогового письменного домашнего задания слушателям необходимо провести и представить анализ ситуации в конкретном секторе экономики ЕС</w:t>
      </w:r>
      <w:r>
        <w:rPr>
          <w:rFonts w:ascii="Times" w:hAnsi="Times"/>
          <w:sz w:val="28"/>
          <w:szCs w:val="28"/>
          <w:rtl w:val="0"/>
          <w:lang w:val="ru-RU"/>
        </w:rPr>
        <w:t xml:space="preserve"> (</w:t>
      </w:r>
      <w:r>
        <w:rPr>
          <w:rFonts w:ascii="Times" w:hAnsi="Times" w:hint="default"/>
          <w:sz w:val="28"/>
          <w:szCs w:val="28"/>
          <w:rtl w:val="0"/>
          <w:lang w:val="ru-RU"/>
        </w:rPr>
        <w:t>задание может быть групповым или индивидуальным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в зависимости от количества человек </w:t>
      </w:r>
      <w:r>
        <w:rPr>
          <w:rFonts w:ascii="Times" w:hAnsi="Times"/>
          <w:sz w:val="28"/>
          <w:szCs w:val="28"/>
          <w:rtl w:val="0"/>
          <w:lang w:val="en-US"/>
        </w:rPr>
        <w:t xml:space="preserve"> </w:t>
      </w:r>
      <w:r>
        <w:rPr>
          <w:rFonts w:ascii="Times" w:hAnsi="Times" w:hint="default"/>
          <w:sz w:val="28"/>
          <w:szCs w:val="28"/>
          <w:rtl w:val="0"/>
          <w:lang w:val="ru-RU"/>
        </w:rPr>
        <w:t>на курсе</w:t>
      </w:r>
      <w:r>
        <w:rPr>
          <w:rFonts w:ascii="Times" w:hAnsi="Times"/>
          <w:sz w:val="28"/>
          <w:szCs w:val="28"/>
          <w:rtl w:val="0"/>
          <w:lang w:val="ru-RU"/>
        </w:rPr>
        <w:t>)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Продолжительность курса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: 8 </w:t>
      </w:r>
      <w:r>
        <w:rPr>
          <w:rFonts w:ascii="Times" w:hAnsi="Times" w:hint="default"/>
          <w:sz w:val="28"/>
          <w:szCs w:val="28"/>
          <w:rtl w:val="0"/>
          <w:lang w:val="ru-RU"/>
        </w:rPr>
        <w:t>недель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 xml:space="preserve">Максимальное число студентов на курсе — </w:t>
      </w:r>
      <w:r>
        <w:rPr>
          <w:rFonts w:ascii="Times" w:hAnsi="Times"/>
          <w:sz w:val="28"/>
          <w:szCs w:val="28"/>
          <w:rtl w:val="0"/>
          <w:lang w:val="ru-RU"/>
        </w:rPr>
        <w:t xml:space="preserve">30 </w:t>
      </w:r>
      <w:r>
        <w:rPr>
          <w:rFonts w:ascii="Times" w:hAnsi="Times" w:hint="default"/>
          <w:sz w:val="28"/>
          <w:szCs w:val="28"/>
          <w:rtl w:val="0"/>
          <w:lang w:val="ru-RU"/>
        </w:rPr>
        <w:t>человек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Требование к студентам курса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Курс не требует предварительных специализированных знаний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но от слушателя требуется готовность участвовать в еженедельных дискуссиях и выполнять домашние задания во время курса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Программа курса</w:t>
      </w:r>
      <w:r>
        <w:rPr>
          <w:rFonts w:ascii="Times" w:hAnsi="Times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 xml:space="preserve">Блок </w:t>
      </w:r>
      <w:r>
        <w:rPr>
          <w:rFonts w:ascii="Times" w:hAnsi="Times"/>
          <w:sz w:val="28"/>
          <w:szCs w:val="28"/>
          <w:rtl w:val="0"/>
          <w:lang w:val="ru-RU"/>
        </w:rPr>
        <w:t xml:space="preserve">1.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Занятия </w:t>
      </w:r>
      <w:r>
        <w:rPr>
          <w:rFonts w:ascii="Times" w:hAnsi="Times"/>
          <w:sz w:val="28"/>
          <w:szCs w:val="28"/>
          <w:rtl w:val="0"/>
          <w:lang w:val="ru-RU"/>
        </w:rPr>
        <w:t>1-4)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Общие вопросы регулирования экономической деятельности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Регуляторный капитализм и регуляторное общество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Провалы рынка и провалы государства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Четыре модальности регулирования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 xml:space="preserve">Блок </w:t>
      </w:r>
      <w:r>
        <w:rPr>
          <w:rFonts w:ascii="Times" w:hAnsi="Times"/>
          <w:sz w:val="28"/>
          <w:szCs w:val="28"/>
          <w:rtl w:val="0"/>
          <w:lang w:val="ru-RU"/>
        </w:rPr>
        <w:t xml:space="preserve">2.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Занятия </w:t>
      </w:r>
      <w:r>
        <w:rPr>
          <w:rFonts w:ascii="Times" w:hAnsi="Times"/>
          <w:sz w:val="28"/>
          <w:szCs w:val="28"/>
          <w:rtl w:val="0"/>
          <w:lang w:val="ru-RU"/>
        </w:rPr>
        <w:t>5-10)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Единый европейский рыно</w:t>
      </w:r>
      <w:r>
        <w:rPr>
          <w:rFonts w:ascii="Times" w:hAnsi="Times" w:hint="default"/>
          <w:sz w:val="28"/>
          <w:szCs w:val="28"/>
          <w:rtl w:val="0"/>
          <w:lang w:val="ru-RU"/>
        </w:rPr>
        <w:t>к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Особенности функционирования единого европейского рынка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Факторы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влияющие на ведение бизнеса в Европе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Приоритеты европейской политики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Европейские стандарты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их исключения и последствия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Регулируемые профессии и виды деятельности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Вопросы регулирования</w:t>
      </w:r>
      <w:r>
        <w:rPr>
          <w:rFonts w:ascii="Times" w:hAnsi="Times"/>
          <w:sz w:val="28"/>
          <w:szCs w:val="28"/>
          <w:rtl w:val="0"/>
          <w:lang w:val="ru-RU"/>
        </w:rPr>
        <w:t xml:space="preserve">, </w:t>
      </w:r>
      <w:r>
        <w:rPr>
          <w:rFonts w:ascii="Times" w:hAnsi="Times" w:hint="default"/>
          <w:sz w:val="28"/>
          <w:szCs w:val="28"/>
          <w:rtl w:val="0"/>
          <w:lang w:val="ru-RU"/>
        </w:rPr>
        <w:t>дерегулирования и либерализации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 xml:space="preserve">Блок </w:t>
      </w:r>
      <w:r>
        <w:rPr>
          <w:rFonts w:ascii="Times" w:hAnsi="Times"/>
          <w:sz w:val="28"/>
          <w:szCs w:val="28"/>
          <w:rtl w:val="0"/>
          <w:lang w:val="en-US"/>
        </w:rPr>
        <w:t>3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Занятия </w:t>
      </w:r>
      <w:r>
        <w:rPr>
          <w:rFonts w:ascii="Times" w:hAnsi="Times"/>
          <w:sz w:val="28"/>
          <w:szCs w:val="28"/>
          <w:rtl w:val="0"/>
          <w:lang w:val="ru-RU"/>
        </w:rPr>
        <w:t>11-14)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Проблемы принятия общественно значимых решений в европейских странах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Соотношение общественных и частных интересов в регулировании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Государственные расходы стран ЕС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Налоговые системы стран ЕС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  <w:r>
        <w:rPr>
          <w:rFonts w:ascii="Times" w:hAnsi="Times"/>
          <w:sz w:val="28"/>
          <w:szCs w:val="28"/>
          <w:rtl w:val="0"/>
          <w:lang w:val="en-US"/>
        </w:rPr>
        <w:t xml:space="preserve"> </w:t>
      </w:r>
      <w:r>
        <w:rPr>
          <w:rFonts w:ascii="Times" w:hAnsi="Times" w:hint="default"/>
          <w:sz w:val="28"/>
          <w:szCs w:val="28"/>
          <w:rtl w:val="0"/>
          <w:lang w:val="ru-RU"/>
        </w:rPr>
        <w:t>Проблема коррупции и антикоррупционное законодательство в странах Европы</w:t>
      </w:r>
      <w:r>
        <w:rPr>
          <w:rFonts w:ascii="Times" w:hAnsi="Times"/>
          <w:sz w:val="28"/>
          <w:szCs w:val="28"/>
          <w:rtl w:val="0"/>
          <w:lang w:val="ru-RU"/>
        </w:rPr>
        <w:t xml:space="preserve">. </w:t>
      </w:r>
      <w:r>
        <w:rPr>
          <w:rFonts w:ascii="Times" w:hAnsi="Times" w:hint="default"/>
          <w:sz w:val="28"/>
          <w:szCs w:val="28"/>
          <w:rtl w:val="0"/>
          <w:lang w:val="ru-RU"/>
        </w:rPr>
        <w:t>Игра с системой</w:t>
      </w:r>
      <w:r>
        <w:rPr>
          <w:rFonts w:ascii="Times" w:hAnsi="Times"/>
          <w:sz w:val="28"/>
          <w:szCs w:val="28"/>
          <w:rtl w:val="0"/>
          <w:lang w:val="ru-RU"/>
        </w:rPr>
        <w:t xml:space="preserve">: </w:t>
      </w:r>
      <w:r>
        <w:rPr>
          <w:rFonts w:ascii="Times" w:hAnsi="Times" w:hint="default"/>
          <w:sz w:val="28"/>
          <w:szCs w:val="28"/>
          <w:rtl w:val="0"/>
          <w:lang w:val="ru-RU"/>
        </w:rPr>
        <w:t>бизнес</w:t>
      </w:r>
      <w:r>
        <w:rPr>
          <w:rFonts w:ascii="Times" w:hAnsi="Times"/>
          <w:sz w:val="28"/>
          <w:szCs w:val="28"/>
          <w:rtl w:val="0"/>
          <w:lang w:val="ru-RU"/>
        </w:rPr>
        <w:t>-</w:t>
      </w:r>
      <w:r>
        <w:rPr>
          <w:rFonts w:ascii="Times" w:hAnsi="Times" w:hint="default"/>
          <w:sz w:val="28"/>
          <w:szCs w:val="28"/>
          <w:rtl w:val="0"/>
          <w:lang w:val="ru-RU"/>
        </w:rPr>
        <w:t>практики на территории Европы и за ее пределами</w:t>
      </w:r>
      <w:r>
        <w:rPr>
          <w:rFonts w:ascii="Times" w:hAnsi="Times"/>
          <w:sz w:val="28"/>
          <w:szCs w:val="28"/>
          <w:rtl w:val="0"/>
          <w:lang w:val="ru-RU"/>
        </w:rPr>
        <w:t xml:space="preserve">. 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 xml:space="preserve">Практические занятия </w:t>
      </w:r>
      <w:r>
        <w:rPr>
          <w:rFonts w:ascii="Times" w:hAnsi="Times"/>
          <w:sz w:val="28"/>
          <w:szCs w:val="28"/>
          <w:rtl w:val="0"/>
          <w:lang w:val="ru-RU"/>
        </w:rPr>
        <w:t>(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Занятия </w:t>
      </w:r>
      <w:r>
        <w:rPr>
          <w:rFonts w:ascii="Times" w:hAnsi="Times"/>
          <w:sz w:val="28"/>
          <w:szCs w:val="28"/>
          <w:rtl w:val="0"/>
          <w:lang w:val="ru-RU"/>
        </w:rPr>
        <w:t>15-16)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 w:hint="default"/>
          <w:sz w:val="28"/>
          <w:szCs w:val="28"/>
          <w:rtl w:val="0"/>
          <w:lang w:val="ru-RU"/>
        </w:rPr>
        <w:t>А</w:t>
      </w:r>
      <w:r>
        <w:rPr>
          <w:rFonts w:ascii="Times" w:hAnsi="Times" w:hint="default"/>
          <w:sz w:val="28"/>
          <w:szCs w:val="28"/>
          <w:rtl w:val="0"/>
          <w:lang w:val="ru-RU"/>
        </w:rPr>
        <w:t>нализ ситуаци</w:t>
      </w:r>
      <w:r>
        <w:rPr>
          <w:rFonts w:ascii="Times" w:hAnsi="Times" w:hint="default"/>
          <w:sz w:val="28"/>
          <w:szCs w:val="28"/>
          <w:rtl w:val="0"/>
          <w:lang w:val="ru-RU"/>
        </w:rPr>
        <w:t>й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в конкретн</w:t>
      </w:r>
      <w:r>
        <w:rPr>
          <w:rFonts w:ascii="Times" w:hAnsi="Times" w:hint="default"/>
          <w:sz w:val="28"/>
          <w:szCs w:val="28"/>
          <w:rtl w:val="0"/>
          <w:lang w:val="ru-RU"/>
        </w:rPr>
        <w:t>ых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сектор</w:t>
      </w:r>
      <w:r>
        <w:rPr>
          <w:rFonts w:ascii="Times" w:hAnsi="Times" w:hint="default"/>
          <w:sz w:val="28"/>
          <w:szCs w:val="28"/>
          <w:rtl w:val="0"/>
          <w:lang w:val="ru-RU"/>
        </w:rPr>
        <w:t>ах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 экономики ЕС</w:t>
      </w:r>
      <w:r>
        <w:rPr>
          <w:rFonts w:ascii="Times" w:hAnsi="Times"/>
          <w:sz w:val="28"/>
          <w:szCs w:val="28"/>
          <w:rtl w:val="0"/>
          <w:lang w:val="ru-RU"/>
        </w:rPr>
        <w:t>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</w:p>
    <w:p>
      <w:pPr>
        <w:pStyle w:val="Текстовый блок A"/>
        <w:jc w:val="both"/>
        <w:rPr>
          <w:rFonts w:ascii="Times" w:cs="Times" w:hAnsi="Times" w:eastAsia="Times"/>
          <w:b w:val="1"/>
          <w:bCs w:val="1"/>
          <w:sz w:val="28"/>
          <w:szCs w:val="28"/>
        </w:rPr>
      </w:pPr>
      <w:r>
        <w:rPr>
          <w:rFonts w:ascii="Times" w:hAnsi="Times" w:hint="default"/>
          <w:b w:val="1"/>
          <w:bCs w:val="1"/>
          <w:sz w:val="28"/>
          <w:szCs w:val="28"/>
          <w:rtl w:val="0"/>
          <w:lang w:val="ru-RU"/>
        </w:rPr>
        <w:t>Список рекомендованной литературы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Bagus, P. </w:t>
      </w:r>
      <w:r>
        <w:rPr>
          <w:rFonts w:ascii="Times" w:hAnsi="Times"/>
          <w:sz w:val="28"/>
          <w:szCs w:val="28"/>
          <w:rtl w:val="0"/>
          <w:lang w:val="ru-RU"/>
        </w:rPr>
        <w:t xml:space="preserve">(2010) </w:t>
      </w:r>
      <w:r>
        <w:rPr>
          <w:rFonts w:ascii="Times" w:hAnsi="Times"/>
          <w:sz w:val="28"/>
          <w:szCs w:val="28"/>
          <w:rtl w:val="0"/>
          <w:lang w:val="ru-RU"/>
        </w:rPr>
        <w:t>The Tragedy of the Euro. Auburn: Ludwig von Mises Institute.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Berend, Ivan T. (2016) The History of European Integration: A New Perspective. Routledge.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Dedman, Martin. (2006) The origins and development of the European Union 1945-1995: a history of European integration. Routledge.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DiLorenzo, T. J. (1996). The myth of natural monopoly.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  </w:t>
      </w:r>
      <w:r>
        <w:rPr>
          <w:rFonts w:ascii="Times" w:hAnsi="Times"/>
          <w:sz w:val="28"/>
          <w:szCs w:val="28"/>
          <w:rtl w:val="0"/>
          <w:lang w:val="ru-RU"/>
        </w:rPr>
        <w:t>Review of Austrian Economics, 9(2), 43</w:t>
      </w:r>
      <w:r>
        <w:rPr>
          <w:rFonts w:ascii="Times" w:hAnsi="Times" w:hint="default"/>
          <w:sz w:val="28"/>
          <w:szCs w:val="28"/>
          <w:rtl w:val="0"/>
          <w:lang w:val="ru-RU"/>
        </w:rPr>
        <w:t>–</w:t>
      </w:r>
      <w:r>
        <w:rPr>
          <w:rFonts w:ascii="Times" w:hAnsi="Times"/>
          <w:sz w:val="28"/>
          <w:szCs w:val="28"/>
          <w:rtl w:val="0"/>
          <w:lang w:val="ru-RU"/>
        </w:rPr>
        <w:t>58.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Frans Somers. (2019). European Business Environment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ru-RU"/>
        </w:rPr>
        <w:t> </w:t>
      </w:r>
      <w:r>
        <w:rPr>
          <w:rFonts w:ascii="Times" w:hAnsi="Times"/>
          <w:sz w:val="28"/>
          <w:szCs w:val="28"/>
          <w:rtl w:val="0"/>
          <w:lang w:val="ru-RU"/>
        </w:rPr>
        <w:t xml:space="preserve">: Doing Business in Europe. Routledge. 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Fisman, R., &amp; Golden, M. A. (2017). Corruption: What everyone needs to know. Oxford University Press.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Hayek, F. A. (1949) The Meaning of Competition. In Individualism and Economic Order. Routledge &amp; Kegan Paul Ltd, pp. 92-106.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Heidebrecht, S. (2024). From market liberalism to public intervention: Digital sovereignty and changing European union digital single market governance. JCMS: Journal of Common Market Studies, 62(1), 205-223.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Larouche, P., Schinkel, M. P. (2013) Continental Drift in the Treatment of Dominant Firms: Article 102 TFEU in Contrast to 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§ </w:t>
      </w:r>
      <w:r>
        <w:rPr>
          <w:rFonts w:ascii="Times" w:hAnsi="Times"/>
          <w:sz w:val="28"/>
          <w:szCs w:val="28"/>
          <w:rtl w:val="0"/>
          <w:lang w:val="ru-RU"/>
        </w:rPr>
        <w:t>2 Sherman Act. TILEC Discussion Paper, No. 2013-020, 2013.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Levi-Faur, D. (2005) The Global Diffusion of Regulatory Capitalism. The Annals of the American Academy of Political and Social Science, vol. 598, no.1, pp. 12</w:t>
      </w:r>
      <w:r>
        <w:rPr>
          <w:rFonts w:ascii="Times" w:hAnsi="Times" w:hint="default"/>
          <w:sz w:val="28"/>
          <w:szCs w:val="28"/>
          <w:rtl w:val="0"/>
          <w:lang w:val="ru-RU"/>
        </w:rPr>
        <w:t>–</w:t>
      </w:r>
      <w:r>
        <w:rPr>
          <w:rFonts w:ascii="Times" w:hAnsi="Times"/>
          <w:sz w:val="28"/>
          <w:szCs w:val="28"/>
          <w:rtl w:val="0"/>
          <w:lang w:val="ru-RU"/>
        </w:rPr>
        <w:t>32.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Lessig, L. (2000). Code is law. Harvard magazine.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Littlechild, S. (2018). Regulation and the nature of competition.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  </w:t>
      </w:r>
      <w:r>
        <w:rPr>
          <w:rFonts w:ascii="Times" w:hAnsi="Times"/>
          <w:sz w:val="28"/>
          <w:szCs w:val="28"/>
          <w:rtl w:val="0"/>
          <w:lang w:val="ru-RU"/>
        </w:rPr>
        <w:t>Journal of Air Transport Management, 67, 211</w:t>
      </w:r>
      <w:r>
        <w:rPr>
          <w:rFonts w:ascii="Times" w:hAnsi="Times" w:hint="default"/>
          <w:sz w:val="28"/>
          <w:szCs w:val="28"/>
          <w:rtl w:val="0"/>
          <w:lang w:val="ru-RU"/>
        </w:rPr>
        <w:t>–</w:t>
      </w:r>
      <w:r>
        <w:rPr>
          <w:rFonts w:ascii="Times" w:hAnsi="Times"/>
          <w:sz w:val="28"/>
          <w:szCs w:val="28"/>
          <w:rtl w:val="0"/>
          <w:lang w:val="ru-RU"/>
        </w:rPr>
        <w:t>223.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Burton, J. (1997). The competitive order or ordered competition? The </w:t>
      </w:r>
      <w:r>
        <w:rPr>
          <w:rFonts w:ascii="Times" w:hAnsi="Times" w:hint="default"/>
          <w:sz w:val="28"/>
          <w:szCs w:val="28"/>
          <w:rtl w:val="0"/>
          <w:lang w:val="ru-RU"/>
        </w:rPr>
        <w:t>‘</w:t>
      </w:r>
      <w:r>
        <w:rPr>
          <w:rFonts w:ascii="Times" w:hAnsi="Times"/>
          <w:sz w:val="28"/>
          <w:szCs w:val="28"/>
          <w:rtl w:val="0"/>
          <w:lang w:val="ru-RU"/>
        </w:rPr>
        <w:t>UK model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’ </w:t>
      </w:r>
      <w:r>
        <w:rPr>
          <w:rFonts w:ascii="Times" w:hAnsi="Times"/>
          <w:sz w:val="28"/>
          <w:szCs w:val="28"/>
          <w:rtl w:val="0"/>
          <w:lang w:val="ru-RU"/>
        </w:rPr>
        <w:t>of utility regulation in theory and practice.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  </w:t>
      </w:r>
      <w:r>
        <w:rPr>
          <w:rFonts w:ascii="Times" w:hAnsi="Times"/>
          <w:sz w:val="28"/>
          <w:szCs w:val="28"/>
          <w:rtl w:val="0"/>
          <w:lang w:val="ru-RU"/>
        </w:rPr>
        <w:t>Public Administration, 75(2), 157</w:t>
      </w:r>
      <w:r>
        <w:rPr>
          <w:rFonts w:ascii="Times" w:hAnsi="Times" w:hint="default"/>
          <w:sz w:val="28"/>
          <w:szCs w:val="28"/>
          <w:rtl w:val="0"/>
          <w:lang w:val="ru-RU"/>
        </w:rPr>
        <w:t>–</w:t>
      </w:r>
      <w:r>
        <w:rPr>
          <w:rFonts w:ascii="Times" w:hAnsi="Times"/>
          <w:sz w:val="28"/>
          <w:szCs w:val="28"/>
          <w:rtl w:val="0"/>
          <w:lang w:val="ru-RU"/>
        </w:rPr>
        <w:t>188.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McGuire, M. C., &amp; Olson Jr, M. L. (1996). The economics of autocracy and majority rule.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Olson, M. (2012). The logic of collective action [1965]. Contemporary Sociological Theory, 124.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Rose-Ackerman, Susan, 2004, Governance and Corruption, In: Bj</w:t>
      </w:r>
      <w:r>
        <w:rPr>
          <w:rFonts w:ascii="Times" w:hAnsi="Times" w:hint="default"/>
          <w:sz w:val="28"/>
          <w:szCs w:val="28"/>
          <w:rtl w:val="0"/>
          <w:lang w:val="ru-RU"/>
        </w:rPr>
        <w:t>ø</w:t>
      </w:r>
      <w:r>
        <w:rPr>
          <w:rFonts w:ascii="Times" w:hAnsi="Times"/>
          <w:sz w:val="28"/>
          <w:szCs w:val="28"/>
          <w:rtl w:val="0"/>
          <w:lang w:val="ru-RU"/>
        </w:rPr>
        <w:t>rn Lomborg (ed.), Global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Crises, Global Solutions. Cambridge, UK: Cambridge University Press: 301-362.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Patel, Kiran Klaus, and Wolfram Kaiser. (2018) "Continuity and change in European cooperation during the twentieth century." Contemporary European History 27.2, 165</w:t>
      </w:r>
      <w:r>
        <w:rPr>
          <w:rFonts w:ascii="Times" w:hAnsi="Times" w:hint="default"/>
          <w:sz w:val="28"/>
          <w:szCs w:val="28"/>
          <w:rtl w:val="0"/>
          <w:lang w:val="ru-RU"/>
        </w:rPr>
        <w:t>–</w:t>
      </w:r>
      <w:r>
        <w:rPr>
          <w:rFonts w:ascii="Times" w:hAnsi="Times"/>
          <w:sz w:val="28"/>
          <w:szCs w:val="28"/>
          <w:rtl w:val="0"/>
          <w:lang w:val="ru-RU"/>
        </w:rPr>
        <w:t>182.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Shleifer, A., Vishny, R. (1993) Corruption. Quarterly Journal of Economics 108, 599</w:t>
      </w:r>
      <w:r>
        <w:rPr>
          <w:rFonts w:ascii="Times" w:hAnsi="Times" w:hint="default"/>
          <w:sz w:val="28"/>
          <w:szCs w:val="28"/>
          <w:rtl w:val="0"/>
          <w:lang w:val="ru-RU"/>
        </w:rPr>
        <w:t>–</w:t>
      </w:r>
      <w:r>
        <w:rPr>
          <w:rFonts w:ascii="Times" w:hAnsi="Times"/>
          <w:sz w:val="28"/>
          <w:szCs w:val="28"/>
          <w:rtl w:val="0"/>
          <w:lang w:val="ru-RU"/>
        </w:rPr>
        <w:t>618.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Stigler, G. J. (1971). The theory of economic regulation. The Bell Journal of Economics and Management Science, 3</w:t>
      </w:r>
      <w:r>
        <w:rPr>
          <w:rFonts w:ascii="Times" w:hAnsi="Times" w:hint="default"/>
          <w:sz w:val="28"/>
          <w:szCs w:val="28"/>
          <w:rtl w:val="0"/>
          <w:lang w:val="ru-RU"/>
        </w:rPr>
        <w:t>–</w:t>
      </w:r>
      <w:r>
        <w:rPr>
          <w:rFonts w:ascii="Times" w:hAnsi="Times"/>
          <w:sz w:val="28"/>
          <w:szCs w:val="28"/>
          <w:rtl w:val="0"/>
          <w:lang w:val="ru-RU"/>
        </w:rPr>
        <w:t>21.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Trubnikov, D., Trubnikova, E. (2019) The Political Economy of </w:t>
      </w:r>
      <w:r>
        <w:rPr>
          <w:rFonts w:ascii="Times" w:hAnsi="Times" w:hint="default"/>
          <w:sz w:val="28"/>
          <w:szCs w:val="28"/>
          <w:rtl w:val="0"/>
          <w:lang w:val="ru-RU"/>
        </w:rPr>
        <w:t>‘</w:t>
      </w:r>
      <w:r>
        <w:rPr>
          <w:rFonts w:ascii="Times" w:hAnsi="Times"/>
          <w:sz w:val="28"/>
          <w:szCs w:val="28"/>
          <w:rtl w:val="0"/>
          <w:lang w:val="ru-RU"/>
        </w:rPr>
        <w:t>Ordered Competition</w:t>
      </w:r>
      <w:r>
        <w:rPr>
          <w:rFonts w:ascii="Times" w:hAnsi="Times" w:hint="default"/>
          <w:sz w:val="28"/>
          <w:szCs w:val="28"/>
          <w:rtl w:val="0"/>
          <w:lang w:val="ru-RU"/>
        </w:rPr>
        <w:t xml:space="preserve">’ </w:t>
      </w:r>
      <w:r>
        <w:rPr>
          <w:rFonts w:ascii="Times" w:hAnsi="Times"/>
          <w:sz w:val="28"/>
          <w:szCs w:val="28"/>
          <w:rtl w:val="0"/>
          <w:lang w:val="ru-RU"/>
        </w:rPr>
        <w:t>in European Telecoms. Economic Affairs, vol. 39, no. 2, pp. 184-196.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Tullock, G. (1967). The welfare costs of tariffs, monopolies, and theft. Economic Inquiry, 5(3), 224</w:t>
      </w:r>
      <w:r>
        <w:rPr>
          <w:rFonts w:ascii="Times" w:hAnsi="Times" w:hint="default"/>
          <w:sz w:val="28"/>
          <w:szCs w:val="28"/>
          <w:rtl w:val="0"/>
          <w:lang w:val="ru-RU"/>
        </w:rPr>
        <w:t>–</w:t>
      </w:r>
      <w:r>
        <w:rPr>
          <w:rFonts w:ascii="Times" w:hAnsi="Times"/>
          <w:sz w:val="28"/>
          <w:szCs w:val="28"/>
          <w:rtl w:val="0"/>
          <w:lang w:val="ru-RU"/>
        </w:rPr>
        <w:t>232.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>Wallace, H., Pollack, M. A., Roederer-Rynning, C., &amp; Young, A. R. (Eds.). (2020). Policy-making in the European Union. Oxford University Press, USA.</w:t>
      </w:r>
    </w:p>
    <w:p>
      <w:pPr>
        <w:pStyle w:val="Текстовый блок A"/>
        <w:jc w:val="both"/>
        <w:rPr>
          <w:rFonts w:ascii="Times" w:cs="Times" w:hAnsi="Times" w:eastAsia="Times"/>
          <w:sz w:val="28"/>
          <w:szCs w:val="28"/>
        </w:rPr>
      </w:pPr>
      <w:r>
        <w:rPr>
          <w:rFonts w:ascii="Times" w:hAnsi="Times"/>
          <w:sz w:val="28"/>
          <w:szCs w:val="28"/>
          <w:rtl w:val="0"/>
          <w:lang w:val="ru-RU"/>
        </w:rPr>
        <w:t xml:space="preserve">EU Tax Policy Strategy // </w:t>
      </w:r>
      <w:r>
        <w:rPr>
          <w:rStyle w:val="Hyperlink.0"/>
          <w:rFonts w:ascii="Times" w:cs="Times" w:hAnsi="Times" w:eastAsia="Times"/>
          <w:sz w:val="28"/>
          <w:szCs w:val="28"/>
        </w:rPr>
        <w:fldChar w:fldCharType="begin" w:fldLock="0"/>
      </w:r>
      <w:r>
        <w:rPr>
          <w:rStyle w:val="Hyperlink.0"/>
          <w:rFonts w:ascii="Times" w:cs="Times" w:hAnsi="Times" w:eastAsia="Times"/>
          <w:sz w:val="28"/>
          <w:szCs w:val="28"/>
        </w:rPr>
        <w:instrText xml:space="preserve"> HYPERLINK "https://taxation-customs.ec.europa.eu/taxation-1/eu-tax-policy-strategy_en"</w:instrText>
      </w:r>
      <w:r>
        <w:rPr>
          <w:rStyle w:val="Hyperlink.0"/>
          <w:rFonts w:ascii="Times" w:cs="Times" w:hAnsi="Times" w:eastAsia="Times"/>
          <w:sz w:val="28"/>
          <w:szCs w:val="28"/>
        </w:rPr>
        <w:fldChar w:fldCharType="separate" w:fldLock="0"/>
      </w:r>
      <w:r>
        <w:rPr>
          <w:rStyle w:val="Hyperlink.0"/>
          <w:rFonts w:ascii="Times" w:hAnsi="Times"/>
          <w:sz w:val="28"/>
          <w:szCs w:val="28"/>
          <w:rtl w:val="0"/>
          <w:lang w:val="ru-RU"/>
        </w:rPr>
        <w:t>https://taxation-customs.ec.europa.eu/taxation-1/eu-tax-policy-strategy_en</w:t>
      </w:r>
      <w:r>
        <w:rPr>
          <w:rFonts w:ascii="Times" w:cs="Times" w:hAnsi="Times" w:eastAsia="Times"/>
          <w:sz w:val="28"/>
          <w:szCs w:val="28"/>
        </w:rPr>
        <w:fldChar w:fldCharType="end" w:fldLock="0"/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</w:p>
    <w:p>
      <w:pPr>
        <w:pStyle w:val="Текстовый блок A"/>
        <w:jc w:val="both"/>
      </w:pPr>
      <w:r>
        <w:rPr>
          <w:rFonts w:ascii="Times" w:hAnsi="Times"/>
          <w:sz w:val="28"/>
          <w:szCs w:val="28"/>
          <w:rtl w:val="0"/>
          <w:lang w:val="ru-RU"/>
        </w:rPr>
        <w:t>The European Commission</w:t>
      </w:r>
      <w:r>
        <w:rPr>
          <w:rFonts w:ascii="Times" w:hAnsi="Times" w:hint="default"/>
          <w:sz w:val="28"/>
          <w:szCs w:val="28"/>
          <w:rtl w:val="0"/>
          <w:lang w:val="ru-RU"/>
        </w:rPr>
        <w:t>’</w:t>
      </w:r>
      <w:r>
        <w:rPr>
          <w:rFonts w:ascii="Times" w:hAnsi="Times"/>
          <w:sz w:val="28"/>
          <w:szCs w:val="28"/>
          <w:rtl w:val="0"/>
          <w:lang w:val="ru-RU"/>
        </w:rPr>
        <w:t>s priorities</w:t>
      </w:r>
      <w:r>
        <w:rPr>
          <w:rFonts w:ascii="Times" w:hAnsi="Times"/>
          <w:sz w:val="28"/>
          <w:szCs w:val="28"/>
          <w:rtl w:val="0"/>
          <w:lang w:val="en-US"/>
        </w:rPr>
        <w:t>.</w:t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  <w:r>
        <w:rPr>
          <w:rFonts w:ascii="Times" w:hAnsi="Times"/>
          <w:sz w:val="28"/>
          <w:szCs w:val="28"/>
          <w:rtl w:val="0"/>
          <w:lang w:val="ru-RU"/>
        </w:rPr>
        <w:t>6 Commission priorities for 2019-24</w:t>
      </w:r>
      <w:r>
        <w:rPr>
          <w:rFonts w:ascii="Times" w:hAnsi="Times"/>
          <w:sz w:val="28"/>
          <w:szCs w:val="28"/>
          <w:rtl w:val="0"/>
          <w:lang w:val="en-US"/>
        </w:rPr>
        <w:t xml:space="preserve"> </w:t>
      </w:r>
      <w:r>
        <w:rPr>
          <w:rFonts w:ascii="Times" w:hAnsi="Times"/>
          <w:sz w:val="28"/>
          <w:szCs w:val="28"/>
          <w:rtl w:val="0"/>
          <w:lang w:val="ru-RU"/>
        </w:rPr>
        <w:t xml:space="preserve">// </w:t>
      </w:r>
      <w:r>
        <w:rPr>
          <w:rStyle w:val="Hyperlink.0"/>
          <w:rFonts w:ascii="Times" w:cs="Times" w:hAnsi="Times" w:eastAsia="Times"/>
          <w:sz w:val="28"/>
          <w:szCs w:val="28"/>
        </w:rPr>
        <w:fldChar w:fldCharType="begin" w:fldLock="0"/>
      </w:r>
      <w:r>
        <w:rPr>
          <w:rStyle w:val="Hyperlink.0"/>
          <w:rFonts w:ascii="Times" w:cs="Times" w:hAnsi="Times" w:eastAsia="Times"/>
          <w:sz w:val="28"/>
          <w:szCs w:val="28"/>
        </w:rPr>
        <w:instrText xml:space="preserve"> HYPERLINK "https://ec.europa.eu/info/strategy/priorities-2019-2024_en"</w:instrText>
      </w:r>
      <w:r>
        <w:rPr>
          <w:rStyle w:val="Hyperlink.0"/>
          <w:rFonts w:ascii="Times" w:cs="Times" w:hAnsi="Times" w:eastAsia="Times"/>
          <w:sz w:val="28"/>
          <w:szCs w:val="28"/>
        </w:rPr>
        <w:fldChar w:fldCharType="separate" w:fldLock="0"/>
      </w:r>
      <w:r>
        <w:rPr>
          <w:rStyle w:val="Hyperlink.0"/>
          <w:rFonts w:ascii="Times" w:hAnsi="Times"/>
          <w:sz w:val="28"/>
          <w:szCs w:val="28"/>
          <w:rtl w:val="0"/>
          <w:lang w:val="ru-RU"/>
        </w:rPr>
        <w:t>https://ec.europa.eu/info/strategy/priorities-2019-2024_en</w:t>
      </w:r>
      <w:r>
        <w:rPr>
          <w:rFonts w:ascii="Times" w:cs="Times" w:hAnsi="Times" w:eastAsia="Times"/>
          <w:sz w:val="28"/>
          <w:szCs w:val="28"/>
        </w:rPr>
        <w:fldChar w:fldCharType="end" w:fldLock="0"/>
      </w:r>
      <w:r>
        <w:rPr>
          <w:rFonts w:ascii="Times" w:hAnsi="Times"/>
          <w:sz w:val="28"/>
          <w:szCs w:val="28"/>
          <w:rtl w:val="0"/>
          <w:lang w:val="ru-RU"/>
        </w:rPr>
        <w:t xml:space="preserve"> </w:t>
      </w:r>
      <w:r>
        <w:rPr>
          <w:rFonts w:ascii="Times" w:cs="Times" w:hAnsi="Times" w:eastAsia="Times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