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2"/>
          <w:szCs w:val="42"/>
        </w:rPr>
      </w:pPr>
      <w:bookmarkStart w:colFirst="0" w:colLast="0" w:name="_dumkz9d0i8ft" w:id="0"/>
      <w:bookmarkEnd w:id="0"/>
      <w:r w:rsidDel="00000000" w:rsidR="00000000" w:rsidRPr="00000000">
        <w:rPr>
          <w:sz w:val="42"/>
          <w:szCs w:val="42"/>
          <w:rtl w:val="0"/>
        </w:rPr>
        <w:t xml:space="preserve">Логика и критическое мышление для юристов 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g6blbtq9w8np" w:id="1"/>
      <w:bookmarkEnd w:id="1"/>
      <w:r w:rsidDel="00000000" w:rsidR="00000000" w:rsidRPr="00000000">
        <w:rPr>
          <w:rtl w:val="0"/>
        </w:rPr>
        <w:t xml:space="preserve">Силлабус (2023, 24 ак. часа)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Для программы “Практическая юриспруденция” (2022-2023)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9jhkbwxme9z1" w:id="2"/>
      <w:bookmarkEnd w:id="2"/>
      <w:r w:rsidDel="00000000" w:rsidR="00000000" w:rsidRPr="00000000">
        <w:rPr>
          <w:rtl w:val="0"/>
        </w:rPr>
        <w:t xml:space="preserve">Авторы: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Юлия и Виктор Горбатовы - преподаватели логики и критического мышления.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До 2020 года работали в Высшей школе экономики, неоднократно входили в категорию “лучший преподаватель”.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Опыт проведения тренингов - 10 лет.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Мы помогали Банку России повысить качество решений кураторов некредитных организаций, менеджерам Ростелекома - улучшить навыки аргументации, сотрудникам Сбербанка - прокачать problem solving, Яндекс.Практикуму - разработать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тренажер по критическому мышлению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Наши лекции можно посмотреть на платформах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Синхронизация</w:t>
        </w:r>
      </w:hyperlink>
      <w:r w:rsidDel="00000000" w:rsidR="00000000" w:rsidRPr="00000000">
        <w:rPr>
          <w:rtl w:val="0"/>
        </w:rPr>
        <w:t xml:space="preserve"> и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LevelOne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1"/>
        <w:jc w:val="both"/>
        <w:rPr/>
      </w:pPr>
      <w:bookmarkStart w:colFirst="0" w:colLast="0" w:name="_u9vzuuz1u6g6" w:id="3"/>
      <w:bookmarkEnd w:id="3"/>
      <w:r w:rsidDel="00000000" w:rsidR="00000000" w:rsidRPr="00000000">
        <w:rPr>
          <w:rtl w:val="0"/>
        </w:rPr>
        <w:t xml:space="preserve">Целевая аудитория и пререквизиты</w:t>
      </w:r>
    </w:p>
    <w:p w:rsidR="00000000" w:rsidDel="00000000" w:rsidP="00000000" w:rsidRDefault="00000000" w:rsidRPr="00000000" w14:paraId="0000000B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Курс предназначен для практикующих юристов. Он учитывает их профессиональные запросы и ориентирован на создание набора инструментов, которыми можно воспользоваться для построения аргументации и принятия решений в различных ситуациях.</w:t>
      </w:r>
    </w:p>
    <w:p w:rsidR="00000000" w:rsidDel="00000000" w:rsidP="00000000" w:rsidRDefault="00000000" w:rsidRPr="00000000" w14:paraId="0000000C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От участников требуются: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Базовые знания логики, риторики и теории вероятностей (достаточно владеть основными понятиями)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Готовность выполнять домашние задания и посетить не менее 75% всех занятий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Реальный рабочий опыт и готовность делиться своими кейсами и примерами из рабочей практики</w:t>
      </w:r>
    </w:p>
    <w:p w:rsidR="00000000" w:rsidDel="00000000" w:rsidP="00000000" w:rsidRDefault="00000000" w:rsidRPr="00000000" w14:paraId="00000010">
      <w:pPr>
        <w:pStyle w:val="Heading1"/>
        <w:jc w:val="both"/>
        <w:rPr/>
      </w:pPr>
      <w:bookmarkStart w:colFirst="0" w:colLast="0" w:name="_dld50gdc9k8x" w:id="4"/>
      <w:bookmarkEnd w:id="4"/>
      <w:r w:rsidDel="00000000" w:rsidR="00000000" w:rsidRPr="00000000">
        <w:rPr>
          <w:rtl w:val="0"/>
        </w:rPr>
        <w:t xml:space="preserve">Тематический план (24 ак. ч.)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Две системы мышления. </w:t>
      </w:r>
      <w:r w:rsidDel="00000000" w:rsidR="00000000" w:rsidRPr="00000000">
        <w:rPr>
          <w:rtl w:val="0"/>
        </w:rPr>
        <w:t xml:space="preserve">“Быстрое” и “медленное” мышление (Д. Канеман). “Гуманы” и “эконы” (Р. Талер). </w:t>
      </w:r>
      <w:r w:rsidDel="00000000" w:rsidR="00000000" w:rsidRPr="00000000">
        <w:rPr>
          <w:rtl w:val="0"/>
        </w:rPr>
        <w:t xml:space="preserve">Откуда берутся когнитивные искажения в юридической практике и как их преодолевать. Эффект привязки, эффект ореола, эвристика аффекта, каскад доступной информации, прайминг, фрейминг, ложные воспоминания.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before="20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Анализ информации.</w:t>
      </w:r>
      <w:r w:rsidDel="00000000" w:rsidR="00000000" w:rsidRPr="00000000">
        <w:rPr>
          <w:rtl w:val="0"/>
        </w:rPr>
        <w:t xml:space="preserve"> Квадрат рефлексии: известное известное (KK), известное неизвестное (KU), неизвестное известное (UK) и неизвестное неизвестное (UU). Ловушки четвертого квадранта: эвристика подтверждения, систематическая ошибка выжившего, спираль молчания. Как предвидеть “слепые пятна” и работать с ними.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Понятийное мышление.</w:t>
      </w:r>
      <w:r w:rsidDel="00000000" w:rsidR="00000000" w:rsidRPr="00000000">
        <w:rPr>
          <w:rtl w:val="0"/>
        </w:rPr>
        <w:t xml:space="preserve"> Четкие и нечеткие понятия. Категоризация и классификация. Связи между понятиями. Теория прототипов. Работа с терминами и определениями. Типичные ошибки в юридических определениях.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Тактическое мышление.</w:t>
      </w:r>
      <w:r w:rsidDel="00000000" w:rsidR="00000000" w:rsidRPr="00000000">
        <w:rPr>
          <w:rtl w:val="0"/>
        </w:rPr>
        <w:t xml:space="preserve"> От правил к стратегиям: рациональные агенты и их действия. Динамическая эпистемическая логика. Виды группового знания и их логические следствия. Типичные теоретико-игровые конструкции в практике юриста (“дилемма заключенного”, “охота на оленя”, “ястребы и голуби”, “ультиматум”, “диктатор”).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Рациональное целеполагание.</w:t>
      </w:r>
      <w:r w:rsidDel="00000000" w:rsidR="00000000" w:rsidRPr="00000000">
        <w:rPr>
          <w:rtl w:val="0"/>
        </w:rPr>
        <w:t xml:space="preserve"> Практический силлогизм и 4 ключевых вопроса к нему (по Д. Уолтону). Стейкхолдер-анализ: 4 группы стейкхолдеров. Цели, средства и интересы. Интересы юриста и интересы клиента. Терминальные и инструментальные ценности.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Рациональная аргументация. </w:t>
      </w:r>
      <w:r w:rsidDel="00000000" w:rsidR="00000000" w:rsidRPr="00000000">
        <w:rPr>
          <w:rtl w:val="0"/>
        </w:rPr>
        <w:t xml:space="preserve">Модель Тулмина в юридической аргументации. </w:t>
      </w:r>
      <w:r w:rsidDel="00000000" w:rsidR="00000000" w:rsidRPr="00000000">
        <w:rPr>
          <w:rtl w:val="0"/>
        </w:rPr>
        <w:t xml:space="preserve">Презумптивные (модифицируемые) рассуждения. Аргументативные схемы и ключевые вопросы к ним (по Д. Уолтону): апелляция к экспертному мнению, апелляция к мнению большинства, аргумент от аналогии, аргумент от корреляции к причинной связи, аргумент от симптома, аргумент к последствиям, аргумент от обязательств, аргумент к личности, аргументы от вербальной классификации.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Уловки в аргументации.</w:t>
      </w:r>
      <w:r w:rsidDel="00000000" w:rsidR="00000000" w:rsidRPr="00000000">
        <w:rPr>
          <w:rtl w:val="0"/>
        </w:rPr>
        <w:t xml:space="preserve"> Логические и прагматические определения уловок. Уловка в контексте диалога. Основные группы уловок: уловки релевантности, приемлемости и достаточности. Основные техники ответа на них: ремонт, уклонение и атака.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Рациональная дискуссия.</w:t>
      </w:r>
      <w:r w:rsidDel="00000000" w:rsidR="00000000" w:rsidRPr="00000000">
        <w:rPr>
          <w:rtl w:val="0"/>
        </w:rPr>
        <w:t xml:space="preserve"> Способы соединения аргументов: параллельное, последовательное, кумулятивное. Их особенности и уязвимости. Виды критики (по Дж. Поллоку): подрыв, отсечение, опровержение. 10 правил критической дискуссии (Ф. ван Еемерен и Р. Гроотендорст). Понимание макроструктуры аргументации: метод аргумент-карт. Умение перегруппировать свою позицию в процессе дискуссии.</w:t>
      </w:r>
    </w:p>
    <w:p w:rsidR="00000000" w:rsidDel="00000000" w:rsidP="00000000" w:rsidRDefault="00000000" w:rsidRPr="00000000" w14:paraId="00000019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200" w:lineRule="auto"/>
        <w:rPr/>
      </w:pPr>
      <w:bookmarkStart w:colFirst="0" w:colLast="0" w:name="_ono24e7s2z8h" w:id="5"/>
      <w:bookmarkEnd w:id="5"/>
      <w:r w:rsidDel="00000000" w:rsidR="00000000" w:rsidRPr="00000000">
        <w:rPr>
          <w:rtl w:val="0"/>
        </w:rPr>
        <w:t xml:space="preserve">Как будут проходить занятия?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00" w:lineRule="auto"/>
        <w:ind w:left="720" w:hanging="360"/>
      </w:pPr>
      <w:r w:rsidDel="00000000" w:rsidR="00000000" w:rsidRPr="00000000">
        <w:rPr>
          <w:rtl w:val="0"/>
        </w:rPr>
        <w:t xml:space="preserve">Встречаемся онлайн 1 раза в неделю по 2,5 часа в вечернее время (~19:00 мск)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Каждая неделя посвящена отдельной теме. На одном занятии знакомимся с инструментами логики и критического мышления, на другом - осваиваем их на практике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Для практических занятий потребуется ноутбук или PC, чтобы работать в команде на интерактивной доске Miro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 течение недели индивидуальные задания для закрепления материала (30 мин)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 течение курса и по его окончании материалы (презентации, тексты, видеоразборы) будут вам доступны онлайн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200" w:lineRule="auto"/>
        <w:rPr/>
      </w:pPr>
      <w:bookmarkStart w:colFirst="0" w:colLast="0" w:name="_tl8icih4d3k5" w:id="6"/>
      <w:bookmarkEnd w:id="6"/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Ариели Д. Предсказуемая иррациональность: Скрытые силы, определяющие наши решения. — М. : Манн, Иванов и Фербер, 2010.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Барак А. Судейское усмотрение. — М. : Норма, 1999.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Канеман Д. Думай медленно… решай быстро. — М. : АСТ, 2021.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Лисанюк E. Н. Аргументация и убеждение. ― СПб.: Наука, 2015.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Нейлбафф Б., Диксит А. Теория игр. Искусство стратегического мышления в бизнесе и жизни. — М. : Манн, Иванов и Фербер, 2015.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Талер Р. &amp; Санстейн К. Nudge: Архитектура выбора. Как улучшить наши решения и здоровье, благосостоянии и счастье – М. : Манн, Иванов и Фербер, 2017.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Чатфилд Т. Критическое мышление. Анализируй, сомневайся, формируй свое мнение. — М.: Альпина Паблишер, 2019.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8.5714285714286" w:lineRule="auto"/>
        <w:ind w:left="720" w:hanging="360"/>
      </w:pPr>
      <w:r w:rsidDel="00000000" w:rsidR="00000000" w:rsidRPr="00000000">
        <w:rPr>
          <w:rtl w:val="0"/>
        </w:rPr>
        <w:t xml:space="preserve">Hurley P. A Concise Introduction to Logic (11th Edition). — Wadsworth, Cengage Learning, 2012.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8.5714285714286" w:lineRule="auto"/>
        <w:ind w:left="720" w:hanging="360"/>
      </w:pPr>
      <w:r w:rsidDel="00000000" w:rsidR="00000000" w:rsidRPr="00000000">
        <w:rPr>
          <w:rtl w:val="0"/>
        </w:rPr>
        <w:t xml:space="preserve">Pinker S. Rationality What It Is, Why It Seems Scarce, Why It Matters. — New York : Viking, 2021.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8.5714285714286" w:lineRule="auto"/>
        <w:ind w:left="720" w:hanging="360"/>
      </w:pPr>
      <w:r w:rsidDel="00000000" w:rsidR="00000000" w:rsidRPr="00000000">
        <w:rPr>
          <w:rtl w:val="0"/>
        </w:rPr>
        <w:t xml:space="preserve">Posner R. How judges think. — Cambridge, Mass., London, 2008.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8.5714285714286" w:lineRule="auto"/>
        <w:ind w:left="720" w:hanging="360"/>
      </w:pPr>
      <w:r w:rsidDel="00000000" w:rsidR="00000000" w:rsidRPr="00000000">
        <w:rPr>
          <w:rtl w:val="0"/>
        </w:rPr>
        <w:t xml:space="preserve">Walton D. Fundamentals of Critical Argumentation (Critical Reasoning and Argumentation). — Cambridge, Mass., 2005.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acticum.yandex.ru/profile/thinking/" TargetMode="External"/><Relationship Id="rId7" Type="http://schemas.openxmlformats.org/officeDocument/2006/relationships/hyperlink" Target="https://synchronize.ru/yuliya-gorbatova" TargetMode="External"/><Relationship Id="rId8" Type="http://schemas.openxmlformats.org/officeDocument/2006/relationships/hyperlink" Target="https://levelvan.ru/lecturer/92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