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СВОБОДНЫЙ УНИВЕРСИТЕТ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КУРСА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ВИНА И ОТВЕТСТВЕННОСТЬ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2023, Весенний семестр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Юданин,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yudanin@gmail.com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Вина и ответственность обсуждаются философами, юристами, теологами, психологами и просто людьми не первое тысячелетие. В последние несколько десятилетий, с существенным увеличением технологических возможностей и расширением круга людей, обретших голос на виртуальной планетарной агоре посредством соцсетей, спектр вины и ответственности стал включать дискуссии об исторической вине колониальных держав, ответственности за судьбу будущих поколений, предотвращения экологической катастрофы и другие темы. После вторжения в Украину и широкой огласки последовавших за этим военных преступлений, вопросы вины и ответственности приобрели особую актуальность и требуют осмысления. Кто виноват и почему? Кто несет ответственность, за что и перед кем? Цель курса – задать и обсудить эти и другие важные вопросы о вине и ответственности. Для этого мы –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подумаем, что означают эти понятия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ознакомимся с основными подходами к теме вины и ответственности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попытаемся понять, всегда ли ответственность является следствием вины и какую роль тут играет моральная удача (moral luck)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проанализируем, каковы психологические требования к субъектам вины и ответственности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обсудим, кто и что могут являться объектами вины и ответственности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понятия коллективной вины и ответственности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коснемся некоторых юридических аспектов вины и ответственности.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ТЕМЫ КУРСА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Вина и ответственность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 февраля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Что может стоять за понятиями вины и ответственности</w:t>
        <w:br w:type="textWrapping"/>
        <w:t xml:space="preserve">- История языковых игр вины и ответственности: употребление терминов и изменение значений</w:t>
        <w:br w:type="textWrapping"/>
        <w:t xml:space="preserve">- План курса: что мы будем обсуждать и что осталось за бортом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Истории вины и ответственности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12 февраля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Адам и Ева в Библии и у Маймонида:</w:t>
        <w:br w:type="textWrapping"/>
        <w:t xml:space="preserve"> </w:t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Библия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Бытие, 2-3</w:t>
        <w:br w:type="textWrapping"/>
        <w:t xml:space="preserve"> </w:t>
        <w:tab/>
        <w:t xml:space="preserve">- Маймонид,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Путеводитель растерянных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Глава 2</w:t>
        <w:br w:type="textWrapping"/>
        <w:t xml:space="preserve">- Раскольников вины и ответственности</w:t>
        <w:br w:type="textWrapping"/>
        <w:t xml:space="preserve"> </w:t>
        <w:tab/>
        <w:t xml:space="preserve">- Достоевский,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Преступление и наказание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Часть 5, глава 4</w:t>
        <w:br w:type="textWrapping"/>
        <w:t xml:space="preserve">- Уход в детство?</w:t>
        <w:br w:type="textWrapping"/>
        <w:t xml:space="preserve"> </w:t>
        <w:tab/>
        <w:t xml:space="preserve">- Грасс,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Жестяной барабан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главы “Под плотами”, “Мотылек и лампочка”, “Стекло, стакан, стопарик”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Виды вины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19 февраля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Ясперс,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Вопрос о виновности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 </w:t>
        <w:tab/>
        <w:t xml:space="preserve">- А. Схема разграничений</w:t>
        <w:br w:type="textWrapping"/>
        <w:t xml:space="preserve"> </w:t>
        <w:tab/>
        <w:t xml:space="preserve">- Б. Немецкие вопросы, I. Расчленение немецкой виновности</w:t>
        <w:br w:type="textWrapping"/>
        <w:t xml:space="preserve">- Арендт, “Личная ответственность при диктатуре”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Философская психология вины и ответственности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26 февраля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 Nagel, “Moral Luck”</w:t>
        <w:br w:type="textWrapping"/>
        <w:t xml:space="preserve">- Velleman, “Don’t Worry, Feel Guilty”</w:t>
        <w:br w:type="textWrapping"/>
        <w:t xml:space="preserve">- Рикёр, “Понятие ответственности: Опыт семантического анализа”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Вина, ответственность и свобода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 марта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Strawson, “Freedom and resentment”</w:t>
        <w:br w:type="textWrapping"/>
        <w:t xml:space="preserve">- Сартр,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Бытие и ничто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Часть 4, глава 1, 3. Свобода и ответственность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Миф вины?</w:t>
      </w:r>
    </w:p>
    <w:p w:rsidR="00000000" w:rsidDel="00000000" w:rsidP="00000000" w:rsidRDefault="00000000" w:rsidRPr="00000000" w14:paraId="00000018">
      <w:pPr>
        <w:spacing w:line="48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12 марта,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Ницше,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генеалогии морали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Рассмотрение второе. “Вина”, “нечистая совесть” и все, что сродни 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Чужие поступки: коллективные вина и ответственность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19 марта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Ясперс,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Вопрос о виновности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 </w:t>
        <w:tab/>
        <w:t xml:space="preserve">- Б. Немецкие вопросы, II. Возможности оправдания</w:t>
        <w:br w:type="textWrapping"/>
        <w:t xml:space="preserve"> </w:t>
        <w:tab/>
        <w:t xml:space="preserve">- Б. Немецкие вопросы, III. Наше очищение</w:t>
        <w:br w:type="textWrapping"/>
        <w:t xml:space="preserve">- Арендт, “Коллективная ответственность”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Ответственность коллектива: Обязанность защищать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26 марта, воскресенье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What is R2R,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https://www.globalr2p.org/what-is-r2p/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 </w:t>
        <w:tab/>
        <w:t xml:space="preserve">- Erskine, “Moral Agents of Protection and Supplementary Responsibilities to Protect”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Темпоральный аспект: ответственность за прошлое и будущее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 апреля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Ответственность за прошлое</w:t>
        <w:br w:type="textWrapping"/>
        <w:tab/>
        <w:t xml:space="preserve">- Baldwin, “The White Man’s Guilt”</w:t>
        <w:br w:type="textWrapping"/>
        <w:t xml:space="preserve"> </w:t>
        <w:tab/>
        <w:t xml:space="preserve">- Thompson, “Collective Responsibility for Historic Injustices”</w:t>
        <w:br w:type="textWrapping"/>
        <w:t xml:space="preserve">- Ответственность за будущее</w:t>
        <w:br w:type="textWrapping"/>
        <w:t xml:space="preserve"> </w:t>
        <w:tab/>
        <w:t xml:space="preserve">- Йонас,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Принцип ответственности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Глава первая: Изменившийся характер человеческой деятельности</w:t>
        <w:br w:type="textWrapping"/>
        <w:t xml:space="preserve"> </w:t>
        <w:tab/>
        <w:t xml:space="preserve">- MacAskill,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We Owe The Future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Chapter 1: The Case for Longtermism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Вина и ответственность как инструмент пропаганды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 апреля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Wisnewski, “What do we owe the dead”</w:t>
        <w:br w:type="textWrapping"/>
        <w:t xml:space="preserve">- Davies, “Marketing’s Top Tools: Guilt, Shame &amp; Fear”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48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Судите и судимы будете: юридические аспекты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16 апреля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Dadrian, “Legal Proceedings as a Conceptual Framework”</w:t>
        <w:br w:type="textWrapping"/>
        <w:t xml:space="preserve">- Kutz,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Complicity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Chapter 6: Problematic Accountability: Facilitation, Unstructured Collective Harm, and Organizational Dysfunction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Подведение итогов: ответственность философов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23 апреля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воскресенье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Обязывает ли к чему-то занятие философией?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0">
      <w:pPr>
        <w:spacing w:line="48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Курсовая работа должна быть подана по электронной почте до 00:00 по Центральноевропейскому времени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мая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года.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отсутствия в интернет-пространстве доступного для студентов текста преподаватель поможет со ссылкой/копией. Если не обозначено издание, можно пользоваться любым.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Арендт, Ханна. “Личная ответственность при диктатуре” в сборнике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Ответственность и суждение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(2013), Москва: Издательство Института Гайдара или в любом другом издании/переводе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Арендт, Ханна. “Коллективная ответственность” в сборнике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Ответственность и суждение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(2013), Москва: Издательство Института Гайдара или в любом другом издании/переводе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Baldwin, James, “The White Man’s Guilt” In Toni Morrison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Collected Essays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(1998), Library of America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Dadrian, Vahakn N. and Akçam, Taner.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Judgment at Istanbul: The Armenian Genocide Trials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(2011), New-York: Berghahn Books, Chapter 7: Legal Proceedings as a Conceptual Framework, 126-153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Erskine, Toni. “Moral Agents of Protection and Supplementary Responsibilities to Protect” In Bellamy and Dunne (Eds),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Oxford Handbook of the Responsibility to Protect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(2016), Oxford: Oxford University Press, Chapter 10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Davies, Dave. “Marketing’s Top Tools: Guilt, Shame &amp; Fear”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SEJ Digital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January 9, 2020,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https://www.searchenginejournal.com/marketing-top-tools-guilt-shame-fear/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Достоевский, Федор Михайлович,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Преступление и наказание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Йонас, Ганс.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Принцип ответственности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Kutz,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Complicity: Ethics and Law for a Collective 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(2000), Cambridge: Cambridge University Press, Chapter 6: Problematic Accountability: Facilitation, Unstructured Collective Harm, and Organizational Dysfunction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MacAskill, William.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We Owe The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Маймонид (РАМБАМ, Моше бен Маймон).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Путеводитель растерянных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Nagel, Thomas.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Moral Questions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(1979). Cambridge: Cambridge University Press, Chapter 3 Moral Luck, 24-38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Ницше,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Генеалогия морали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Рикёр, Поль. “Понятие ответственности: Опыт семантического анализа” в книге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Справедливое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Сартр,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Бытие и ничто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Thompson, Janna. “Collective Responsibility for Historic Injustices”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Midwest Studies in Philosophy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XXX (2006)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Velleman, J. David, “Don’t Worry, Feel Guilty” In Hatzimoysis (Ed),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Philosophy and the Emotions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(2003), Cambridge: Cambridge University Press, XIV, 235-248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R2R by Global Centre for the Responsibility to Protect,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https://www.globalr2p.org/what-is-r2p/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Wisnewski, J. Jeremy. “What do we owe the dead”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Applied Philosophy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February 2009, Vol. 26, No. 1, 54-70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Ясперс, Карл.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Вопрос о виновности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 КУРСА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занятий по 2½  часа, одна встреча в неделю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9:00-11:30 по Тихоокеанскому времени (US Pacific Time)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18:00-20:30 по Центральноевропейскому (CEST) времени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19:00-21:30 по Киевскому (EEST) и Московскому (MSK) времени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Занятия будут проводиться через Zoom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занятия кроме первого состоят из трех частей: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Презентации студентов и обсуждение: две презентации по 15 минут каждая и последующее обсуждение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Лекция-введение в следующую тему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Вопросы по следующей теме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Встречи с преподавателем</w:t>
      </w:r>
    </w:p>
    <w:p w:rsidR="00000000" w:rsidDel="00000000" w:rsidP="00000000" w:rsidRDefault="00000000" w:rsidRPr="00000000" w14:paraId="0000004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необходимости, можно встретиться с преподавателем в неурочное время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проводится на русском языке с использованием терминологии на английском и других языках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 – на английском и русском языках. При возникновении такой потребности, студенты могут пользоваться доступными им переводами на другие языки.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можно подавать на английском, русском или украинском языках.</w:t>
      </w:r>
    </w:p>
    <w:p w:rsidR="00000000" w:rsidDel="00000000" w:rsidP="00000000" w:rsidRDefault="00000000" w:rsidRPr="00000000" w14:paraId="0000004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КОМУ ПОДОЙДЕТ ЭТОТ КУРС</w:t>
      </w:r>
    </w:p>
    <w:p w:rsidR="00000000" w:rsidDel="00000000" w:rsidP="00000000" w:rsidRDefault="00000000" w:rsidRPr="00000000" w14:paraId="0000004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аудиторией курса являются философы, как студенты, так и практикующие сократы, а также политологи и юристы. Для успешного прохождения курса желательно знакомство с основными философскими понятиями в области этики и основами формальной логики. Требуется владение английским языком на уровне прочтения научной статьи.</w:t>
      </w:r>
    </w:p>
    <w:p w:rsidR="00000000" w:rsidDel="00000000" w:rsidP="00000000" w:rsidRDefault="00000000" w:rsidRPr="00000000" w14:paraId="0000004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 К СТУДЕНТАМ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занятиям: изучение материала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Активное участие в занятиях (10% от общей оценки)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 (20% от общей оценки каждая)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Курсовая работа (70% от общей оценки)</w:t>
      </w:r>
    </w:p>
    <w:p w:rsidR="00000000" w:rsidDel="00000000" w:rsidP="00000000" w:rsidRDefault="00000000" w:rsidRPr="00000000" w14:paraId="00000053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Стр.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из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globalr2p.org/what-is-r2p/" TargetMode="External"/><Relationship Id="rId5" Type="http://schemas.openxmlformats.org/officeDocument/2006/relationships/styles" Target="styles.xml"/><Relationship Id="rId6" Type="http://schemas.openxmlformats.org/officeDocument/2006/relationships/hyperlink" Target="mailto:yudanin@gmail.com" TargetMode="External"/><Relationship Id="rId7" Type="http://schemas.openxmlformats.org/officeDocument/2006/relationships/hyperlink" Target="https://www.globalr2p.org/what-is-r2p/" TargetMode="External"/><Relationship Id="rId8" Type="http://schemas.openxmlformats.org/officeDocument/2006/relationships/hyperlink" Target="https://www.searchenginejournal.com/marketing-top-tools-guilt-shame-fe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